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4627" w:y="117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Пояснительная записка</w:t>
      </w:r>
    </w:p>
    <w:p>
      <w:pPr>
        <w:pStyle w:val="Style5"/>
        <w:framePr w:w="9346" w:h="14061" w:hRule="exact" w:wrap="none" w:vAnchor="page" w:hAnchor="page" w:x="1286" w:y="1606"/>
        <w:widowControl w:val="0"/>
        <w:keepNext w:val="0"/>
        <w:keepLines w:val="0"/>
        <w:shd w:val="clear" w:color="auto" w:fill="auto"/>
        <w:bidi w:val="0"/>
        <w:spacing w:before="0" w:after="176"/>
        <w:ind w:left="0" w:right="0" w:firstLine="0"/>
      </w:pPr>
      <w:r>
        <w:rPr>
          <w:lang w:val="ru-RU"/>
          <w:w w:val="100"/>
          <w:color w:val="000000"/>
          <w:position w:val="0"/>
        </w:rPr>
        <w:t>к проекту постановления администрации Фурмановского муниципального района «О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района «Развитие малого и среднего предпринимательства в Фурмановском муниципальном районе»</w:t>
      </w:r>
    </w:p>
    <w:p>
      <w:pPr>
        <w:pStyle w:val="Style7"/>
        <w:framePr w:w="9346" w:h="14061" w:hRule="exact" w:wrap="none" w:vAnchor="page" w:hAnchor="page" w:x="1286" w:y="1606"/>
        <w:tabs>
          <w:tab w:leader="none" w:pos="18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680"/>
      </w:pPr>
      <w:r>
        <w:rPr>
          <w:lang w:val="ru-RU"/>
          <w:w w:val="100"/>
          <w:color w:val="000000"/>
          <w:position w:val="0"/>
        </w:rPr>
        <w:t>Настоящий проект постановления администрации Фурмановского муниципального района разработан в соответствии с Постановлением Правительства Ивановской области от 26.11.2019</w:t>
        <w:tab/>
        <w:t>№468-п «О распределении субсидий бюджетам муниципальных</w:t>
      </w:r>
    </w:p>
    <w:p>
      <w:pPr>
        <w:pStyle w:val="Style7"/>
        <w:framePr w:w="9346" w:h="14061" w:hRule="exact" w:wrap="none" w:vAnchor="page" w:hAnchor="page" w:x="1286" w:y="1606"/>
        <w:widowControl w:val="0"/>
        <w:keepNext w:val="0"/>
        <w:keepLines w:val="0"/>
        <w:shd w:val="clear" w:color="auto" w:fill="auto"/>
        <w:bidi w:val="0"/>
        <w:spacing w:before="0" w:after="23"/>
        <w:ind w:left="20" w:right="20" w:firstLine="0"/>
      </w:pPr>
      <w:r>
        <w:rPr>
          <w:lang w:val="ru-RU"/>
          <w:w w:val="100"/>
          <w:color w:val="000000"/>
          <w:position w:val="0"/>
        </w:rPr>
        <w:t>образований Ивановской области на государственную поддержку субъектов малого и среднего предпринимательства в рамках подпрограммы «Развитие малого и среднего предпринимательства» государственной программы Ивановской области «Экономическое развитие и инновационная экономика Ивановской области» в 2019 году», в целях установления порядка предоставления и распределения субсидий из областного бюджета бюджетам муниципальных образований на поддержку субъектов малого и среднего предпринимательства, создания благоприятных условий для стимулирования и повышения инвестиционной активности субъектов малого и среднего предпринимательства.</w:t>
      </w:r>
    </w:p>
    <w:p>
      <w:pPr>
        <w:pStyle w:val="Style7"/>
        <w:framePr w:w="9346" w:h="14061" w:hRule="exact" w:wrap="none" w:vAnchor="page" w:hAnchor="page" w:x="1286" w:y="1606"/>
        <w:widowControl w:val="0"/>
        <w:keepNext w:val="0"/>
        <w:keepLines w:val="0"/>
        <w:shd w:val="clear" w:color="auto" w:fill="auto"/>
        <w:bidi w:val="0"/>
        <w:spacing w:before="0" w:after="0" w:line="51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Настоящий Проект состоит из трех подпрограмм сроком реализации 2014-2021 годы:</w:t>
      </w:r>
    </w:p>
    <w:p>
      <w:pPr>
        <w:pStyle w:val="Style7"/>
        <w:numPr>
          <w:ilvl w:val="0"/>
          <w:numId w:val="1"/>
        </w:numPr>
        <w:framePr w:w="9346" w:h="14061" w:hRule="exact" w:wrap="none" w:vAnchor="page" w:hAnchor="page" w:x="1286" w:y="1606"/>
        <w:tabs>
          <w:tab w:leader="none" w:pos="226" w:val="left"/>
        </w:tabs>
        <w:widowControl w:val="0"/>
        <w:keepNext w:val="0"/>
        <w:keepLines w:val="0"/>
        <w:shd w:val="clear" w:color="auto" w:fill="auto"/>
        <w:bidi w:val="0"/>
        <w:spacing w:before="0" w:after="0" w:line="51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«Финансовая поддержка субъектов малого и среднего предпринимательства»;</w:t>
      </w:r>
    </w:p>
    <w:p>
      <w:pPr>
        <w:pStyle w:val="Style7"/>
        <w:numPr>
          <w:ilvl w:val="0"/>
          <w:numId w:val="1"/>
        </w:numPr>
        <w:framePr w:w="9346" w:h="14061" w:hRule="exact" w:wrap="none" w:vAnchor="page" w:hAnchor="page" w:x="1286" w:y="1606"/>
        <w:tabs>
          <w:tab w:leader="none" w:pos="226" w:val="left"/>
        </w:tabs>
        <w:widowControl w:val="0"/>
        <w:keepNext w:val="0"/>
        <w:keepLines w:val="0"/>
        <w:shd w:val="clear" w:color="auto" w:fill="auto"/>
        <w:bidi w:val="0"/>
        <w:spacing w:before="0" w:after="0" w:line="51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«Имущественная поддержка субъектов малого и среднего предпринимательства»;</w:t>
      </w:r>
    </w:p>
    <w:p>
      <w:pPr>
        <w:pStyle w:val="Style7"/>
        <w:numPr>
          <w:ilvl w:val="0"/>
          <w:numId w:val="1"/>
        </w:numPr>
        <w:framePr w:w="9346" w:h="14061" w:hRule="exact" w:wrap="none" w:vAnchor="page" w:hAnchor="page" w:x="1286" w:y="1606"/>
        <w:tabs>
          <w:tab w:leader="none" w:pos="226" w:val="left"/>
        </w:tabs>
        <w:widowControl w:val="0"/>
        <w:keepNext w:val="0"/>
        <w:keepLines w:val="0"/>
        <w:shd w:val="clear" w:color="auto" w:fill="auto"/>
        <w:bidi w:val="0"/>
        <w:spacing w:before="0" w:after="184" w:line="322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«Информационная и консультационная поддержка субъектов малого и среднего предпринимательства»;</w:t>
      </w:r>
    </w:p>
    <w:p>
      <w:pPr>
        <w:pStyle w:val="Style7"/>
        <w:numPr>
          <w:ilvl w:val="0"/>
          <w:numId w:val="3"/>
        </w:numPr>
        <w:framePr w:w="9346" w:h="14061" w:hRule="exact" w:wrap="none" w:vAnchor="page" w:hAnchor="page" w:x="1286" w:y="1606"/>
        <w:tabs>
          <w:tab w:leader="none" w:pos="418" w:val="left"/>
        </w:tabs>
        <w:widowControl w:val="0"/>
        <w:keepNext w:val="0"/>
        <w:keepLines w:val="0"/>
        <w:shd w:val="clear" w:color="auto" w:fill="auto"/>
        <w:bidi w:val="0"/>
        <w:spacing w:before="0" w:after="180"/>
        <w:ind w:left="20" w:right="20" w:firstLine="0"/>
      </w:pPr>
      <w:r>
        <w:rPr>
          <w:lang w:val="ru-RU"/>
          <w:w w:val="100"/>
          <w:color w:val="000000"/>
          <w:position w:val="0"/>
        </w:rPr>
        <w:t>Настоящим Проектом вносится изменение в объем ресурсного обеспечения мероприятий подпрограммы «Финансовая поддержка субъектов малого и среднего предпринимательства» в части уменьшения бюджетных ассигнований из бюджета Фурмановского городского поселения до суммы, необходимой для софинансирования субсидии, предусмотренной из бюджета Ивановской области, а также внесение средств субсидии из областного бюджета.</w:t>
      </w:r>
    </w:p>
    <w:p>
      <w:pPr>
        <w:pStyle w:val="Style7"/>
        <w:numPr>
          <w:ilvl w:val="0"/>
          <w:numId w:val="3"/>
        </w:numPr>
        <w:framePr w:w="9346" w:h="14061" w:hRule="exact" w:wrap="none" w:vAnchor="page" w:hAnchor="page" w:x="1286" w:y="1606"/>
        <w:tabs>
          <w:tab w:leader="none" w:pos="226" w:val="left"/>
        </w:tabs>
        <w:widowControl w:val="0"/>
        <w:keepNext w:val="0"/>
        <w:keepLines w:val="0"/>
        <w:shd w:val="clear" w:color="auto" w:fill="auto"/>
        <w:bidi w:val="0"/>
        <w:spacing w:before="0" w:after="296"/>
        <w:ind w:left="20" w:right="20" w:firstLine="0"/>
      </w:pPr>
      <w:r>
        <w:rPr>
          <w:lang w:val="ru-RU"/>
          <w:w w:val="100"/>
          <w:color w:val="000000"/>
          <w:position w:val="0"/>
        </w:rPr>
        <w:t>Настоящим Проектом вносится изменение в Раздел 2. Краткая характеристика сферы реализации подпрограммы «Финансовая поддержка субъектов малого и среднего предпринимательства» в части добавления регионального проекта, обеспечивающего достижение целей, показателей и результатов муниципальной программы.</w:t>
      </w:r>
    </w:p>
    <w:p>
      <w:pPr>
        <w:pStyle w:val="Style7"/>
        <w:framePr w:w="9346" w:h="14061" w:hRule="exact" w:wrap="none" w:vAnchor="page" w:hAnchor="page" w:x="1286" w:y="1606"/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Проект подлежит проведению оценки регулирующего воздействия, поскольку затрагивает вопросы осуществления предпринимательской и инвестиционной деятельности.</w:t>
      </w:r>
    </w:p>
    <w:p>
      <w:pPr>
        <w:pStyle w:val="Style7"/>
        <w:framePr w:w="9346" w:h="14061" w:hRule="exact" w:wrap="none" w:vAnchor="page" w:hAnchor="page" w:x="1286" w:y="160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В соответствии с постановлением администрации Фурмановского муниципального района от 27.01.2017 №79 «Об оценке регулирующего воздействия проектов нормативных правовых актов Фурмановского муниципального района и экспертизе нормативных правовых актов Фурмановского муниципального района» проведена предварительная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350" w:h="8154" w:hRule="exact" w:wrap="none" w:vAnchor="page" w:hAnchor="page" w:x="1284" w:y="1603"/>
        <w:widowControl w:val="0"/>
        <w:keepNext w:val="0"/>
        <w:keepLines w:val="0"/>
        <w:shd w:val="clear" w:color="auto" w:fill="auto"/>
        <w:bidi w:val="0"/>
        <w:spacing w:before="0" w:after="184"/>
        <w:ind w:left="20" w:right="20" w:firstLine="0"/>
      </w:pPr>
      <w:r>
        <w:rPr>
          <w:lang w:val="ru-RU"/>
          <w:w w:val="100"/>
          <w:color w:val="000000"/>
          <w:position w:val="0"/>
        </w:rPr>
        <w:t>оценка регулирующего воздействия данного Проекта, в связи с чем установлено, что он предусматривает новое правовое регулирование в части прав и обязанностей субъектов предпринимательской деятельности, однако не приведет к последствиям, указанным в части «б» пп. 2.2 Порядка проведения оценки регулирующего воздействия проектов НПА, а именно:</w:t>
      </w:r>
    </w:p>
    <w:p>
      <w:pPr>
        <w:pStyle w:val="Style7"/>
        <w:numPr>
          <w:ilvl w:val="0"/>
          <w:numId w:val="1"/>
        </w:numPr>
        <w:framePr w:w="9350" w:h="8154" w:hRule="exact" w:wrap="none" w:vAnchor="page" w:hAnchor="page" w:x="1284" w:y="1603"/>
        <w:tabs>
          <w:tab w:leader="none" w:pos="786" w:val="left"/>
        </w:tabs>
        <w:widowControl w:val="0"/>
        <w:keepNext w:val="0"/>
        <w:keepLines w:val="0"/>
        <w:shd w:val="clear" w:color="auto" w:fill="auto"/>
        <w:bidi w:val="0"/>
        <w:spacing w:before="0" w:after="176" w:line="312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 Фурмановского муниципального района, а также сложившегося в Фурмановском муниципальном районе уровня развития технологий, инфраструктуры, рынков товаров и услуг;</w:t>
      </w:r>
    </w:p>
    <w:p>
      <w:pPr>
        <w:pStyle w:val="Style7"/>
        <w:numPr>
          <w:ilvl w:val="0"/>
          <w:numId w:val="1"/>
        </w:numPr>
        <w:framePr w:w="9350" w:h="8154" w:hRule="exact" w:wrap="none" w:vAnchor="page" w:hAnchor="page" w:x="1284" w:y="1603"/>
        <w:tabs>
          <w:tab w:leader="none" w:pos="786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20" w:right="20" w:firstLine="560"/>
      </w:pPr>
      <w:r>
        <w:rPr>
          <w:lang w:val="ru-RU"/>
          <w:w w:val="100"/>
          <w:color w:val="000000"/>
          <w:position w:val="0"/>
        </w:rPr>
        <w:t>к возникновению у указанных субъектов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бюджета Фурмановского муниципального района.</w:t>
      </w:r>
    </w:p>
    <w:p>
      <w:pPr>
        <w:pStyle w:val="Style7"/>
        <w:framePr w:w="9350" w:h="8154" w:hRule="exact" w:wrap="none" w:vAnchor="page" w:hAnchor="page" w:x="1284" w:y="1603"/>
        <w:widowControl w:val="0"/>
        <w:keepNext w:val="0"/>
        <w:keepLines w:val="0"/>
        <w:shd w:val="clear" w:color="auto" w:fill="auto"/>
        <w:bidi w:val="0"/>
        <w:spacing w:before="0" w:after="176" w:line="312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В связи с вышеизложенным, предварительная оценка регулирующего воздействия настоящего Проекта считается положительной.</w:t>
      </w:r>
    </w:p>
    <w:p>
      <w:pPr>
        <w:pStyle w:val="Style7"/>
        <w:framePr w:w="9350" w:h="8154" w:hRule="exact" w:wrap="none" w:vAnchor="page" w:hAnchor="page" w:x="1284" w:y="160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Принятие проекта Постановления администрации Фурмановского муниципального района «О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района «Развитие малого и среднего предпринимательства в Фурмановском муниципальном районе» не потребует выделения дополнительных денежных средств из местного бюджета.</w:t>
      </w:r>
    </w:p>
    <w:p>
      <w:pPr>
        <w:pStyle w:val="Style5"/>
        <w:framePr w:wrap="none" w:vAnchor="page" w:hAnchor="page" w:x="1284" w:y="10500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20" w:right="5501" w:firstLine="0"/>
      </w:pPr>
      <w:r>
        <w:rPr>
          <w:lang w:val="ru-RU"/>
          <w:w w:val="100"/>
          <w:color w:val="000000"/>
          <w:position w:val="0"/>
        </w:rPr>
        <w:t>Начальник отдела экономического</w:t>
      </w:r>
    </w:p>
    <w:p>
      <w:pPr>
        <w:pStyle w:val="Style5"/>
        <w:framePr w:wrap="none" w:vAnchor="page" w:hAnchor="page" w:x="1284" w:y="10774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20" w:right="7070" w:firstLine="0"/>
      </w:pPr>
      <w:r>
        <w:rPr>
          <w:lang w:val="ru-RU"/>
          <w:w w:val="100"/>
          <w:color w:val="000000"/>
          <w:position w:val="0"/>
        </w:rPr>
        <w:t>развития и торговли</w:t>
      </w:r>
    </w:p>
    <w:p>
      <w:pPr>
        <w:framePr w:wrap="none" w:vAnchor="page" w:hAnchor="page" w:x="6281" w:y="1070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1pt;height:24pt;">
            <v:imagedata r:id="rId5" r:href="rId6"/>
          </v:shape>
        </w:pict>
      </w:r>
    </w:p>
    <w:p>
      <w:pPr>
        <w:pStyle w:val="Style5"/>
        <w:framePr w:wrap="none" w:vAnchor="page" w:hAnchor="page" w:x="8613" w:y="1079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en-US"/>
          <w:w w:val="100"/>
          <w:color w:val="000000"/>
          <w:position w:val="0"/>
        </w:rPr>
        <w:t xml:space="preserve">JI. </w:t>
      </w:r>
      <w:r>
        <w:rPr>
          <w:lang w:val="ru-RU"/>
          <w:w w:val="100"/>
          <w:color w:val="000000"/>
          <w:position w:val="0"/>
        </w:rPr>
        <w:t>Г. Горбачева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5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5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180" w:line="312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both"/>
      <w:spacing w:before="180" w:line="317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