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50" w:rsidRPr="00CD7750" w:rsidRDefault="00CD7750" w:rsidP="00CD7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b/>
          <w:sz w:val="24"/>
          <w:szCs w:val="24"/>
        </w:rPr>
        <w:t>Проект концессионного соглашения</w:t>
      </w:r>
    </w:p>
    <w:p w:rsidR="00CD7750" w:rsidRPr="00CD7750" w:rsidRDefault="00CD7750" w:rsidP="00CD7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750" w:rsidRPr="00CD7750" w:rsidRDefault="00CD7750" w:rsidP="00CD77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КОНЦЕССИОННОЕ СОГЛАШЕНИЕ</w:t>
      </w:r>
    </w:p>
    <w:p w:rsidR="00CD7750" w:rsidRPr="00CD7750" w:rsidRDefault="00CD7750" w:rsidP="00CD77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7750" w:rsidRP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P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г. Фурманов                                                                                               «__»________201__г </w:t>
      </w:r>
    </w:p>
    <w:p w:rsidR="00CD7750" w:rsidRP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Pr="00CD7750" w:rsidRDefault="00CD7750" w:rsidP="00CD7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5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D7750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CD7750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CD7750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CD7750">
        <w:rPr>
          <w:rFonts w:ascii="Times New Roman" w:hAnsi="Times New Roman" w:cs="Times New Roman"/>
          <w:sz w:val="24"/>
          <w:szCs w:val="24"/>
        </w:rPr>
        <w:t xml:space="preserve"> муниципального  района </w:t>
      </w:r>
      <w:r w:rsidR="00CF019A">
        <w:rPr>
          <w:rFonts w:ascii="Times New Roman" w:hAnsi="Times New Roman" w:cs="Times New Roman"/>
          <w:sz w:val="24"/>
          <w:szCs w:val="24"/>
        </w:rPr>
        <w:t>СОЛОВЬЕВА РОМАНА АЛЕКСАНДРОВИЧА, действующего</w:t>
      </w:r>
      <w:r w:rsidRPr="00CD7750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  <w:r w:rsidR="00CF01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F019A">
        <w:rPr>
          <w:rFonts w:ascii="Times New Roman" w:hAnsi="Times New Roman" w:cs="Times New Roman"/>
          <w:sz w:val="24"/>
          <w:szCs w:val="24"/>
        </w:rPr>
        <w:t>именуемая</w:t>
      </w:r>
      <w:r w:rsidRPr="00CD775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proofErr w:type="spellStart"/>
      <w:r w:rsidRPr="00CD7750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CD7750">
        <w:rPr>
          <w:rFonts w:ascii="Times New Roman" w:hAnsi="Times New Roman" w:cs="Times New Roman"/>
          <w:sz w:val="24"/>
          <w:szCs w:val="24"/>
        </w:rPr>
        <w:t xml:space="preserve">, </w:t>
      </w:r>
      <w:r w:rsidRPr="00CD7750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</w:t>
      </w:r>
    </w:p>
    <w:p w:rsidR="00F92136" w:rsidRDefault="00F92136" w:rsidP="00F921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Cs w:val="28"/>
        </w:rPr>
      </w:pPr>
      <w:r w:rsidRPr="00F92136">
        <w:rPr>
          <w:rFonts w:ascii="Times New Roman" w:hAnsi="Times New Roman" w:cs="Times New Roman"/>
          <w:color w:val="000000"/>
          <w:szCs w:val="28"/>
        </w:rPr>
        <w:t>Правительство Ивановской области, в лице заместителя Председателя Правительства Ивановской области ШАБОТИНСКОГО АЛЕКСАНДРА ЛЕОНИДОВИЧА, с другой стороны</w:t>
      </w:r>
    </w:p>
    <w:p w:rsidR="00CD7750" w:rsidRPr="00CD7750" w:rsidRDefault="00CD7750" w:rsidP="00F921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750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r w:rsidRPr="00CD7750">
        <w:rPr>
          <w:rFonts w:ascii="Times New Roman" w:hAnsi="Times New Roman" w:cs="Times New Roman"/>
          <w:sz w:val="24"/>
          <w:szCs w:val="24"/>
        </w:rPr>
        <w:t>___________________________________________________ лице ________________, действующего на основании</w:t>
      </w:r>
      <w:r w:rsidRPr="00CD7750">
        <w:rPr>
          <w:rFonts w:ascii="Times New Roman" w:hAnsi="Times New Roman" w:cs="Times New Roman"/>
          <w:color w:val="000000"/>
          <w:sz w:val="24"/>
          <w:szCs w:val="24"/>
        </w:rPr>
        <w:t xml:space="preserve">  __</w:t>
      </w:r>
      <w:r w:rsidRPr="00CD7750">
        <w:rPr>
          <w:rFonts w:ascii="Times New Roman" w:hAnsi="Times New Roman" w:cs="Times New Roman"/>
          <w:sz w:val="24"/>
          <w:szCs w:val="24"/>
        </w:rPr>
        <w:t xml:space="preserve">____________________, </w:t>
      </w:r>
      <w:r w:rsidRPr="00CD7750">
        <w:rPr>
          <w:rFonts w:ascii="Times New Roman" w:eastAsia="Calibri" w:hAnsi="Times New Roman" w:cs="Times New Roman"/>
          <w:sz w:val="24"/>
          <w:szCs w:val="24"/>
        </w:rPr>
        <w:t>именуе</w:t>
      </w:r>
      <w:proofErr w:type="gramStart"/>
      <w:r w:rsidRPr="00CD7750">
        <w:rPr>
          <w:rFonts w:ascii="Times New Roman" w:eastAsia="Calibri" w:hAnsi="Times New Roman" w:cs="Times New Roman"/>
          <w:sz w:val="24"/>
          <w:szCs w:val="24"/>
        </w:rPr>
        <w:t>м(</w:t>
      </w:r>
      <w:proofErr w:type="spellStart"/>
      <w:proofErr w:type="gramEnd"/>
      <w:r w:rsidRPr="00CD7750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) в дальнейшем Концессионером, с третьей стороны, именуемые также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Сторонами, в соответствии с Протоколом конкурсной комиссии о результатах проведения конкурса____________________________________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от «__» ________ 201_ г. № _____ заключили настоящее Соглашение о нижеследующем.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CD7750">
        <w:rPr>
          <w:rFonts w:ascii="Times New Roman" w:eastAsia="Calibri" w:hAnsi="Times New Roman" w:cs="Times New Roman"/>
          <w:b/>
          <w:sz w:val="24"/>
          <w:szCs w:val="24"/>
        </w:rPr>
        <w:t>. Предмет Соглашения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Концессионер обязуется за свой счет (собственными и заемными средствами) реконструировать имущество – </w:t>
      </w:r>
      <w:r w:rsidRPr="00CD7750">
        <w:rPr>
          <w:rFonts w:ascii="Times New Roman" w:hAnsi="Times New Roman" w:cs="Times New Roman"/>
          <w:color w:val="000000"/>
          <w:sz w:val="24"/>
          <w:szCs w:val="24"/>
        </w:rPr>
        <w:t>модульные очистные сооружения с биологической очисткой, расположенные по адресу: Ивановская область, г. Фурманов, ул. Радищева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состав и описание которых приведены в разделе II настоящего Соглашения (далее – «Объект Соглашения»), право </w:t>
      </w:r>
      <w:proofErr w:type="gram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собственности</w:t>
      </w:r>
      <w:proofErr w:type="gram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которое принадлежит и будет принадлежать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Концеденту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 осуществлять использование (эксплуатацию) Объекта Соглашения, а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обязуется предоставить 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b/>
          <w:sz w:val="24"/>
          <w:szCs w:val="24"/>
        </w:rPr>
        <w:t>II. Объект Соглашения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2. Объектом Соглашения являются </w:t>
      </w:r>
      <w:r w:rsidRPr="00CD7750">
        <w:rPr>
          <w:rFonts w:ascii="Times New Roman" w:hAnsi="Times New Roman" w:cs="Times New Roman"/>
          <w:color w:val="000000"/>
          <w:sz w:val="24"/>
          <w:szCs w:val="24"/>
        </w:rPr>
        <w:t>Модульные очистные сооружения с биологической очисткой, расположенные по адресу: Ивановская область, г. Фурманов, ул. Радищева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50">
        <w:rPr>
          <w:rFonts w:ascii="Times New Roman" w:hAnsi="Times New Roman" w:cs="Times New Roman"/>
          <w:sz w:val="24"/>
          <w:szCs w:val="24"/>
        </w:rPr>
        <w:t>Состав Объекта концессионного соглашения (включая перечень объектов недвижимого имущества, входящих в состав Объекта концессионного соглашения), его описание, в том числе технико-экономические показатели, приведены в приложении № 2 к настоящему соглашению.</w:t>
      </w:r>
    </w:p>
    <w:p w:rsidR="00CD7750" w:rsidRPr="00CD7750" w:rsidRDefault="00CD7750" w:rsidP="00CD775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Объект соглашения, подлежащий реконструкции, принадлежит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Концеденту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праве собственности. Копии правоустанавливающих документов, удостоверяющих право собственности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объекты, входящие в состав Объекта Соглашения, представлены в Приложении № 1 к настоящему Соглашению.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гарантирует, что 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на момент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заключения настоящего Соглашения Объект Соглашения свободен от прав третьих лиц.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CD7750">
        <w:rPr>
          <w:rFonts w:ascii="Times New Roman" w:hAnsi="Times New Roman" w:cs="Times New Roman"/>
          <w:color w:val="000000"/>
          <w:sz w:val="24"/>
          <w:szCs w:val="24"/>
        </w:rPr>
        <w:t xml:space="preserve">На момент заключения настоящего Соглашения Объект Соглашения </w:t>
      </w:r>
      <w:r w:rsidRPr="00CD7750">
        <w:rPr>
          <w:rFonts w:ascii="Times New Roman" w:hAnsi="Times New Roman" w:cs="Times New Roman"/>
          <w:sz w:val="24"/>
          <w:szCs w:val="24"/>
        </w:rPr>
        <w:t xml:space="preserve">находится в муниципальной собственности </w:t>
      </w:r>
      <w:proofErr w:type="spellStart"/>
      <w:r w:rsidRPr="00CD7750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CD77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b/>
          <w:sz w:val="24"/>
          <w:szCs w:val="24"/>
        </w:rPr>
        <w:t xml:space="preserve">III. Порядок передачи </w:t>
      </w:r>
      <w:proofErr w:type="spellStart"/>
      <w:r w:rsidRPr="00CD7750">
        <w:rPr>
          <w:rFonts w:ascii="Times New Roman" w:eastAsia="Calibri" w:hAnsi="Times New Roman" w:cs="Times New Roman"/>
          <w:b/>
          <w:sz w:val="24"/>
          <w:szCs w:val="24"/>
        </w:rPr>
        <w:t>Концедентом</w:t>
      </w:r>
      <w:proofErr w:type="spellEnd"/>
      <w:r w:rsidRPr="00CD7750">
        <w:rPr>
          <w:rFonts w:ascii="Times New Roman" w:eastAsia="Calibri" w:hAnsi="Times New Roman" w:cs="Times New Roman"/>
          <w:b/>
          <w:sz w:val="24"/>
          <w:szCs w:val="24"/>
        </w:rPr>
        <w:t xml:space="preserve"> Концессионеру объектов имущества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обязуется передать Концессионеру, а Концессионер обязуется принять Объект Соглашения, сведения о котором приведены в Приложении № 2 к настоящему Соглашению, а также права владения и пользования указанным Объектом Соглашения не позднее 30 календарных дней </w:t>
      </w:r>
      <w:proofErr w:type="gram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Соглашения. 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Передача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Концессионеру Объекта Соглашения, сведения о котором приведены в Приложении № 2 к настоящему Соглашению, осуществляется по акту приема-передачи, подписываемому Сторонами.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Обязанность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передаче Объекта Соглашения, сведения о котором приведены в Приложении № 2 к настоящему Соглашению, считается исполненной после принятия Объекта Соглашения Концессионером и подписания Сторонами акта приема-передачи.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Обязанность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передаче Концессионеру прав владения и пользования 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объектами недвижимого имущества, входящими в состав Объекта Соглашения, считается исполненной со дня государственной регистрации указанных прав Концессионера. 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Обязанность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Концедента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по передаче Концессионеру прав владения и пользования движимым имуществом, входящим в состав объекта Соглашения, считается исполненной после принятия этого имущества Концессионером и подписания Сторонами акта приема-передачи.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8. Государственная регистрация прав, указанных в пункте 7 настоящего Соглашения, осуществляется за счет Концессионера.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b/>
          <w:sz w:val="24"/>
          <w:szCs w:val="24"/>
        </w:rPr>
        <w:t>IV. Создание и (или) реконструкция Объекта Соглашения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11. Концессионер обязан за свой счет реконструировать объекты в составе Объекта Соглашения в сроки, указанные в разделе X настоящего Соглашения, в соответствии с заданием и конкурсным предложением Концессионера. Задание (основные мероприятия) приведены в Приложении №3 к настоящему Соглашению.</w:t>
      </w:r>
    </w:p>
    <w:p w:rsidR="00CD7750" w:rsidRPr="00CD7750" w:rsidRDefault="00CD7750" w:rsidP="00CD775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12. Концессионер обязан достигнуть плановых значений показателей деятельности Концессионера.</w:t>
      </w:r>
    </w:p>
    <w:p w:rsidR="00CD7750" w:rsidRPr="00CD7750" w:rsidRDefault="00CD7750" w:rsidP="00CD775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7750">
        <w:rPr>
          <w:rFonts w:ascii="Times New Roman" w:hAnsi="Times New Roman" w:cs="Times New Roman"/>
          <w:color w:val="000000"/>
          <w:sz w:val="24"/>
          <w:szCs w:val="24"/>
        </w:rPr>
        <w:t xml:space="preserve">13. Перечень реконструируемых объектов, входящих в состав объекта Соглашения, объем затрат, сроки проведения реконструкции указаны в приложении№3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 настоящему Соглашению.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Стороны обязуются осуществить действия, необходимые для государственной регистрации права собственности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r w:rsidRPr="00CD7750">
        <w:rPr>
          <w:rFonts w:ascii="Times New Roman" w:eastAsia="Calibri" w:hAnsi="Times New Roman" w:cs="Times New Roman"/>
          <w:sz w:val="24"/>
          <w:szCs w:val="24"/>
        </w:rPr>
        <w:t>реконструируемые Концессионером объекты в составе Объекта Соглашения, а также прав Концессионера на владение и пользование указанным имуществом, не позднее одного месяца с момента ввода в эксплуатацию Объекта Соглашения.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Концессионер вправе привлекать к выполнению работ по реконструкции Объекта Соглашения третьих лиц, за действия которых Концессионер отвечает как </w:t>
      </w:r>
      <w:proofErr w:type="gram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gram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свои собственные.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Концессионер обязан за свой счет разработать и согласовать с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проектную документацию, необходимую для реконструкции объектов в составе Объекта Соглашения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Проектная документация должна соответствовать требованиям, предъявляемым к Объекту Соглашения в соответствии с решением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заключении настоящего Соглашения, конкурсной документацией и заданием, являющимся Приложением №3 к настоящему Соглашению.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</w:t>
      </w:r>
      <w:proofErr w:type="spellStart"/>
      <w:r w:rsidRPr="00CD7750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D7750">
        <w:rPr>
          <w:rFonts w:ascii="Times New Roman" w:hAnsi="Times New Roman" w:cs="Times New Roman"/>
          <w:sz w:val="24"/>
          <w:szCs w:val="24"/>
        </w:rPr>
        <w:t xml:space="preserve"> обязуется обеспечить Концессионеру необходимые условия для выполнения работ по реконструкции Объекта Соглашения.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При обнаружении Концессионером несоответствия проектной документации условиям, установленным настоящим Соглашением, требованиям технических регламентов и иных нормативных правовых актов Российской Федерации Концессионер обязуется немедленно предупредить об этом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 основании решения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момента внесения необходимых изменений в проектную документацию приостановить работу по созданию и (или) реконструкции Объекта Соглашения.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обнаружении несоответствия проектной документации требованиям, установленным настоящим Соглашением, в случае разработки проектной документации Концессионером, Концессионер несет ответственность перед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порядке и размерах, указанных в настоящем Соглашении в соответствии с действующим законодательством.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20. При обнаружении Концессионером не зависящих от Сторон обстоятельств, делающих невозможным реконструкцию, а также ввод в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эксплуатацию Объекта Соглашения в сроки, установленные настоящим Соглашением, и (или) надлежащее использование (эксплуатацию) Объекта Соглашения, Концессионер обязуется немедленно уведомить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Концедента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об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 обстоятельствах в целях согласования дальнейших действий Сторон по исполнению настоящего Соглашения.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Концессионер при необходимости обязан обеспечить ввод в эксплуатацию Объекта Соглашения в соответствии с условиями настоящего соглашения, в порядке, установленном законодательством Российской Федерации, в срок, указанный в разделе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Соглашения.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Концессионер обязан приступить к использованию (эксплуатации) Объекта Соглашения, в срок, указанный в разделе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Соглашения.</w:t>
      </w:r>
    </w:p>
    <w:p w:rsidR="00CD7750" w:rsidRPr="00CD7750" w:rsidRDefault="00CD7750" w:rsidP="00CD775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7750">
        <w:rPr>
          <w:rFonts w:ascii="Times New Roman" w:hAnsi="Times New Roman" w:cs="Times New Roman"/>
          <w:color w:val="000000"/>
          <w:sz w:val="24"/>
          <w:szCs w:val="24"/>
        </w:rPr>
        <w:t xml:space="preserve">23. Концессионер обязан осуществить инвестиции в реконструкцию объекта Соглашения в объемах, указанных в Приложении № 3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 настоящему Соглашению.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50">
        <w:rPr>
          <w:rFonts w:ascii="Times New Roman" w:hAnsi="Times New Roman" w:cs="Times New Roman"/>
          <w:color w:val="000000"/>
          <w:sz w:val="24"/>
          <w:szCs w:val="24"/>
        </w:rPr>
        <w:t xml:space="preserve">24. Задание и основные мероприятия, предусмотренные статьей 22 Федерального закона «О концессионных соглашениях», с  описанием основных характеристик таких мероприятий приведены в Приложении № 3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 настоящему Соглашению</w:t>
      </w:r>
      <w:r w:rsidRPr="00CD77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50">
        <w:rPr>
          <w:rFonts w:ascii="Times New Roman" w:hAnsi="Times New Roman" w:cs="Times New Roman"/>
          <w:color w:val="000000"/>
          <w:sz w:val="24"/>
          <w:szCs w:val="24"/>
        </w:rPr>
        <w:t xml:space="preserve">25. Объем и источники инвестиций, привлекаемых Концессионером  в  целях реконструкции объекта Соглашения, определяются в соответствии с законодательством Российской Федерации в сфере регулирования цен (тарифов), и указываются в Приложении № 3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 настоящему Соглашению.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26. Завершение Концессионером работ по реконструкции Объекта Соглашения оформляется письменным уведомлением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Концедента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об исполнении Концессионером своих обязательств по реконструкции Объекта Соглашения и оформляется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подписываемым Сторонами документом об исполнении Концессионером обязательств по реконструкции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Объекта Соглашения.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b/>
          <w:sz w:val="24"/>
          <w:szCs w:val="24"/>
        </w:rPr>
        <w:t>V. Порядок предоставления Концессионеру земельных участков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27.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обязуется в соответствии с действующим порядком заключить с Концессионером договор о предоставлении земельного участка на праве аренды, являющегося муниципальной собственностью, на котором расположен Объект Соглашения, для осуществления Концессионером деятельности, предусмотренной настоящим Соглашением, в течение 60 (шестидесяти) рабочих дней со дня подписания настоящего Соглашения.</w:t>
      </w:r>
    </w:p>
    <w:p w:rsidR="00CD7750" w:rsidRPr="00CD7750" w:rsidRDefault="00CD7750" w:rsidP="00CD775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28. Земельный участок, указанный в Приложении №4 к настоящему Соглашению, принадлежит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Концеденту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на праве собственности, на основании правоустанавливающих документов, сведения о которых указаны в Приложении № 5 к настоящему Соглашению.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29. </w:t>
      </w:r>
      <w:r w:rsidRPr="00CD775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Описание земельного участка, указанного в пункте 28 настоящего Соглашения, представлены в Приложении №4</w:t>
      </w:r>
      <w:r w:rsidRPr="00CD77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Концессионер обязан в течение 30 (тридцати) календарных дней после подписания настоящего Соглашения в соответствии с действующим порядком обратиться в Администрацию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Фурмановского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 по вопросу заключения договора о предоставлении земельного участка, указанного в пункте 28 настоящего Соглашения, на котором расположен Объект Соглашения, для осуществления Концессионером деятельности, предусмотренной настоящим Соглашением.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31. Договор аренды (субаренды) земельного участка заключается на срок действия настоящего Соглашения.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32. Договор аренды (субаренды) подлежит государственной регистрации в установленном законодательством Российской Федерации порядке и вступает в силу с момента такой регистрации. Государственная регистрация указанного договора осуществляется за счет Концессионера.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33. Размер и порядок внесения арендной платы за пользование земельным участком, указанным в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пункте 28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устанавливается соответствующим договором аренды (субаренды) земельного участка.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34. Концессионер не вправе передавать свои права по договору аренды (субаренды) земельного участка, указанного в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пункте 28 настоящего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Соглашения третьим лицам и сдавать земельный участок в субаренду.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35. Прекращение настоящего Соглашения является основанием для прекращения договора аренды (субаренды) земельного участка, указанного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в пункте 28 настоящего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Соглашения.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36.</w:t>
      </w:r>
      <w:r w:rsidRPr="00CD775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Копии документов, удостоверяющих право собственности (владения)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Концедента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в отношении земельного участка, предоставляемого Концессионеру по договору аренды (субаренды) приведены в приложении № 5 к настоящему Соглашению.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37. Концессионер _____________________________________________</w:t>
      </w:r>
    </w:p>
    <w:p w:rsidR="00CD7750" w:rsidRPr="00CD7750" w:rsidRDefault="00CD7750" w:rsidP="00CD7750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7750">
        <w:rPr>
          <w:rFonts w:ascii="Times New Roman" w:eastAsia="Calibri" w:hAnsi="Times New Roman" w:cs="Times New Roman"/>
          <w:i/>
          <w:sz w:val="24"/>
          <w:szCs w:val="24"/>
        </w:rPr>
        <w:t xml:space="preserve">(вправе / не вправе с согласия </w:t>
      </w:r>
      <w:proofErr w:type="spellStart"/>
      <w:r w:rsidRPr="00CD7750">
        <w:rPr>
          <w:rFonts w:ascii="Times New Roman" w:eastAsia="Calibri" w:hAnsi="Times New Roman" w:cs="Times New Roman"/>
          <w:i/>
          <w:sz w:val="24"/>
          <w:szCs w:val="24"/>
        </w:rPr>
        <w:t>Концедента</w:t>
      </w:r>
      <w:proofErr w:type="spellEnd"/>
      <w:r w:rsidRPr="00CD7750">
        <w:rPr>
          <w:rFonts w:ascii="Times New Roman" w:eastAsia="Calibri" w:hAnsi="Times New Roman" w:cs="Times New Roman"/>
          <w:i/>
          <w:sz w:val="24"/>
          <w:szCs w:val="24"/>
        </w:rPr>
        <w:t xml:space="preserve"> - указать </w:t>
      </w:r>
      <w:proofErr w:type="gramStart"/>
      <w:r w:rsidRPr="00CD7750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CD7750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возводить на земельном участке, находящемся в собственности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Концедента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>, объекты недвижимого имущества, не входящие в состав Объекта Соглашения, предназначенные для использования при осуществлении Концессионером деятельности, предусмотренной настоящим Соглашением.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b/>
          <w:sz w:val="24"/>
          <w:szCs w:val="24"/>
        </w:rPr>
        <w:t>VI. Владение, пользование объектами имущества, предоставляемыми Концессионеру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38. Концессионер обязан использовать (эксплуатировать) Объект Соглашения,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 котором приведены в Приложении №2 к настоящему Соглашению,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в рамках настоящего Соглашения, в установленном настоящим Соглашением порядке в целях осуществления деятельности, указанной в пункте 1 настоящего Соглашения.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39. Концессионер обязан поддерживать Объект Соглашения в исправном состоянии, производить за свой счет текущий и капитальный ремонт, нести расходы на содержание (оплата коммунальных, охранных, эксплуатационных расходов) Объекта Соглашения.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40. Концессионер не имеет право передавать объект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Соглашения в пользование третьим лицам.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41. Передача Концессионером в залог или отчуждение Объекта Соглашения,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сведения о котором приведены в Приложении №2 к </w:t>
      </w:r>
      <w:r w:rsidRPr="00CD7750">
        <w:rPr>
          <w:rFonts w:ascii="Times New Roman" w:eastAsia="Calibri" w:hAnsi="Times New Roman" w:cs="Times New Roman"/>
          <w:sz w:val="24"/>
          <w:szCs w:val="24"/>
        </w:rPr>
        <w:t>настоящему Соглашению, не допускается.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42. 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43. Недвижимое имущество, которое создано Концессионером без согласия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Концедента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при осуществлении деятельности, предусмотренной настоящим Соглашением, не относящееся к Объекту Соглашения, и не входящее в состав иного имущества, является собственностью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Концедента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. Стоимость такого имущества не подлежит возмещению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Концедентом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44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Движимое имущество, которое создано и (или) приобретено Концессионером при осуществлении деятельности, предусмотренной настоящим Соглашением, </w:t>
      </w:r>
      <w:r w:rsidRPr="00CD7750">
        <w:rPr>
          <w:rFonts w:ascii="Times New Roman" w:eastAsia="Calibri" w:hAnsi="Times New Roman" w:cs="Times New Roman"/>
          <w:sz w:val="24"/>
          <w:szCs w:val="24"/>
        </w:rPr>
        <w:t>и не входит в состав иного имущества, является собственностью Концессионера.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45. Концессионер обязан учитывать Объект Соглашения на своем балансе отдельно от своего имущества.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46. Концессионер обязан осуществлять начисление амортизации на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Объекты, входящие в состав Объекта Соглашения</w:t>
      </w:r>
      <w:r w:rsidRPr="00CD77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7750" w:rsidRPr="00CD7750" w:rsidRDefault="00CD7750" w:rsidP="00CD775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47. Риск случайной гибели или случайного повреждения Объекта Соглашения по настоящему Соглашению несет Концессионер с момента </w:t>
      </w:r>
      <w:proofErr w:type="gramStart"/>
      <w:r w:rsidRPr="00CD7750">
        <w:rPr>
          <w:rFonts w:ascii="Times New Roman" w:eastAsia="Calibri" w:hAnsi="Times New Roman" w:cs="Times New Roman"/>
          <w:sz w:val="24"/>
          <w:szCs w:val="24"/>
        </w:rPr>
        <w:t>подписания акта приема-передачи Объекта соглашения</w:t>
      </w:r>
      <w:proofErr w:type="gram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до момента возврата объектов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Концеденту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по акту приема-передачи, подписанному Сторонами. Концессионер обязан застраховать Объект Соглашения за свой счет, выгодоприобретателем в договоре страхования будет являться Администрация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Фурмановского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в лице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Концедента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VII</w:t>
      </w:r>
      <w:r w:rsidRPr="00CD77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Порядок передачи Концессионером </w:t>
      </w:r>
      <w:proofErr w:type="spellStart"/>
      <w:r w:rsidRPr="00CD77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Концеденту</w:t>
      </w:r>
      <w:proofErr w:type="spellEnd"/>
      <w:r w:rsidRPr="00CD7750">
        <w:rPr>
          <w:rFonts w:ascii="Times New Roman" w:eastAsia="Calibri" w:hAnsi="Times New Roman" w:cs="Times New Roman"/>
          <w:b/>
          <w:sz w:val="24"/>
          <w:szCs w:val="24"/>
        </w:rPr>
        <w:t xml:space="preserve"> объектов имущества</w:t>
      </w:r>
    </w:p>
    <w:p w:rsidR="00CD7750" w:rsidRPr="00CD7750" w:rsidRDefault="00CD7750" w:rsidP="00CD775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48.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Концессионер обязан передать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</w:rPr>
        <w:t>Концеденту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а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</w:rPr>
        <w:t>Концедент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обязан принять Объект Соглашения в срок, указанный в разделе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  <w:lang w:val="en-US"/>
        </w:rPr>
        <w:t>X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настоящего Соглашения. Передаваемый Концессионером Объект Соглашения должен находиться в состоянии, 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указанном в приложении № 2 к настоящему Соглашению, пригодном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для осуществления деятельности, указанной в пункте 1 настоящего Соглашения, и не должен быть обременен правами третьих лиц.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49. Передача Концессионером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Концеденту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Объекта Соглашения, указанного в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пункте 48 настоящего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Соглашения, осуществляется по акту приема-передачи, подписываемому Сторонами.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50. Концессионер передаёт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Концеденту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документы, относящиеся к Объекту Соглашения, в том числе проектную документацию на Объект Соглашения, если подготовка такой документации Концессионером предусмотрена условиями настоящего Соглашения, одновременно с передачей Объекта Соглашения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Концеденту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51. Обязанность Концессионера по передаче Объекта Соглашения считается исполненной с момента подписания Сторонами соответствующего акта приема-передачи.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52. При уклонении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подписания акта приема-передачи, указанного в пункте 49 настоящего Соглашения, обязанность Концессионера по передаче Объекта Соглашения, указанного в пункте 48 настоящего Соглашения, считается исполненной, если Концессионер осуществил все необходимые действия по передаче Объекта Соглашения, включая действия по государственной регистрации прекращения прав владения и пользования Объектом Соглашения.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53. 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Концессионера.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54. Стороны обязуются осуществить действия, необходимые для государственной регистрации прекращения указанных прав Концессионера, в течение 30 (тридцати) календарных дней со дня прекращения действия настоящего Соглашения.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CD7750">
        <w:rPr>
          <w:rFonts w:ascii="Times New Roman" w:eastAsia="Calibri" w:hAnsi="Times New Roman" w:cs="Times New Roman"/>
          <w:b/>
          <w:sz w:val="24"/>
          <w:szCs w:val="24"/>
        </w:rPr>
        <w:t>. Порядок осуществления Концессионером деятельности, предусмотренной Соглашением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55. В соответствии с настоящим Соглашением Концессионер обязан на условиях,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предусмотренных настоящим Соглашением, осуществлять деятельность, указанную в пункте 1 настоящего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Соглашения, и не прекращать (не приостанавливать) эту деятельность без согласия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Концедента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>, за исключением случаев, установленных законодательством Российской Федерации.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56. Концессионер обязан осуществлять деятельность по использованию (эксплуатации) Объекта Соглашения в соответствии с требованиями, установленными законодательством Российской Федерации.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57. Концессионер обязан осуществлять деятельность, предусмотренную настоящим Соглашением, с момента заключения настоящего Соглашения и до окончания срока действия настоящего Соглашения.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58.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</w:rPr>
        <w:t>Помимо деятельности, указанной в пункте 1 настоящего Соглашения, Концессионер с использованием Объекта Соглашения не имеет права осуществлять иные виды деятельности.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59. Концессионер имеет право исполнять настоящее Соглашение, включая осуществление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деятельности, указанной в пункте 1 настоящего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Соглашения, своими силами и (или) с привлечением других лиц. При этом Концессионер несет ответственность за действия других лиц как </w:t>
      </w:r>
      <w:proofErr w:type="gramStart"/>
      <w:r w:rsidRPr="00CD7750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свои собственные.</w:t>
      </w:r>
    </w:p>
    <w:p w:rsidR="00CD7750" w:rsidRPr="00CD7750" w:rsidRDefault="00CD7750" w:rsidP="00CD775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60. 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61. Концессионер обязан при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осуществлении деятельности, указанной в пункте 1 настоящего Соглашения, осуществлять реализацию выполняемых работ и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оказываемых услуг по регулируемым ценам (тарифам).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CD7750">
        <w:rPr>
          <w:rFonts w:ascii="Times New Roman" w:eastAsia="Calibri" w:hAnsi="Times New Roman" w:cs="Times New Roman"/>
          <w:b/>
          <w:sz w:val="24"/>
          <w:szCs w:val="24"/>
        </w:rPr>
        <w:t xml:space="preserve">. Обеспечение Концессионером исполнения обязательств </w:t>
      </w:r>
      <w:r w:rsidRPr="00CD77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Концессионному соглашению 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62. Концессионер обязан предоставить обеспечение исполнения обязательств по выполнению мероприятий по созданию и (или) реконструкции Объекта концессионного соглашения путем предоставления безотзывной банковской гарантии. Безотзывная банковская гарантия должна быть непередаваемой и соответствовать утвержденным в установленном порядке требованиям к таким гарантиям. Размер банковской гарантии устанавливается 100000 (</w:t>
      </w:r>
      <w:r w:rsidRPr="00CD7750">
        <w:rPr>
          <w:rFonts w:ascii="Times New Roman" w:hAnsi="Times New Roman" w:cs="Times New Roman"/>
          <w:color w:val="000000"/>
          <w:sz w:val="24"/>
          <w:szCs w:val="24"/>
        </w:rPr>
        <w:t>сто тысяч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) рублей 00 копеек.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63. Концессионер обязан в течение 30 (тридцати) календарных дней со дня заключения настоящего Соглашения представить безотзывную банковскую гарантию (оригинал) в размере, указанном в пункте 62 настоящего Соглашения, обеспечивающую исполнение обязательств по созданию и (или) реконструкции Объекта Соглашения. Общий срок действия указанной банковской гарантии устанавливается на весь срок действия данного Соглашения, указанный в разделе </w:t>
      </w:r>
      <w:r w:rsidRPr="00CD7750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Соглашения.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64. Безотзывная банковская гарантия принимается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Концедентом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при условии ее соответствия требованиям действующего законодательства Российской Федерации, а также при условии наличия в ней: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64.1. Срока действия безотзывной банковской гарантии;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64.2. Указания на сумму, в пределах которой банк гарантирует исполнение обязательств по Соглашению и которая не может быть меньше суммы, определяемой в соответствии с пунктом 62 настоящего Соглашения;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64.3. Ссылки на настоящее Соглашение, включая указание на Стороны, предмет, основание заключения, указанное в преамбуле Соглашения;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65. Концессионер вправе обеспечить исполнение обязательств, указанных в пункте 62 настоящего Соглашения, последовательными безотзывными банковскими гарантиями в течение срока действия настоящего Соглашения.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66. В случае прекращения банковской гарантии в связи с ликвидацией гаранта или невозможностью ее исполнения, вызванной обстоятельствами, за которые ни одна из сторон банковской гарантией не отвечает, Концессионер обязан в трехдневный срок со дня ее получения представить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Концеденту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новую банковскую гарантию, начало срока </w:t>
      </w:r>
      <w:proofErr w:type="gramStart"/>
      <w:r w:rsidRPr="00CD7750">
        <w:rPr>
          <w:rFonts w:ascii="Times New Roman" w:eastAsia="Calibri" w:hAnsi="Times New Roman" w:cs="Times New Roman"/>
          <w:sz w:val="24"/>
          <w:szCs w:val="24"/>
        </w:rPr>
        <w:t>действия</w:t>
      </w:r>
      <w:proofErr w:type="gram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которой должно быть не позднее окончания срока действия прекращенной банковской гарантии. Иные условия новой банковской гарантии должны быть идентичны условиям прекращенной банковской гарантии.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X. Сроки</w:t>
      </w:r>
      <w:r w:rsidRPr="00CD7750">
        <w:rPr>
          <w:rFonts w:ascii="Times New Roman" w:eastAsia="Calibri" w:hAnsi="Times New Roman" w:cs="Times New Roman"/>
          <w:b/>
          <w:sz w:val="24"/>
          <w:szCs w:val="24"/>
        </w:rPr>
        <w:t>, предусмотренные настоящим Соглашением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67. Настоящее Соглашение вступает в силу со дня его подписания и действует 5 (пять) лет, соответственно до «____» _________20____ года.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68. Срок реконструкции Концессионером Объекта Соглашения – в течение </w:t>
      </w:r>
      <w:r w:rsidRPr="00CD7750">
        <w:rPr>
          <w:rFonts w:ascii="Times New Roman" w:hAnsi="Times New Roman" w:cs="Times New Roman"/>
          <w:color w:val="000000"/>
          <w:sz w:val="24"/>
          <w:szCs w:val="24"/>
        </w:rPr>
        <w:t>в течение</w:t>
      </w:r>
      <w:r w:rsidRPr="00CD7750">
        <w:rPr>
          <w:rFonts w:ascii="Times New Roman" w:hAnsi="Times New Roman" w:cs="Times New Roman"/>
          <w:sz w:val="24"/>
          <w:szCs w:val="24"/>
        </w:rPr>
        <w:t xml:space="preserve"> 60 (шестьдесят)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месяцев после заключения настоящего Соглашения.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69. Срок ввода в эксплуатацию Объекта Соглашения при необходимости в течение 6 (шести) месяцев после срока реконструкции Концессионером Объекта Соглашения, указанного в пункте 68 настоящего Соглашения.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70. Срок использования (эксплуатации) Концессионером Объекта Соглашения в соответствии с его целевым назначением – не менее </w:t>
      </w:r>
      <w:r w:rsidRPr="00CD7750">
        <w:rPr>
          <w:rFonts w:ascii="Times New Roman" w:hAnsi="Times New Roman" w:cs="Times New Roman"/>
          <w:sz w:val="24"/>
          <w:szCs w:val="24"/>
        </w:rPr>
        <w:t xml:space="preserve">60 (шестьдесят)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месяцев.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71. Срок передачи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Концессионеру Объекта Соглашения – в течение 30 (тридцати) 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дней с момента заключения настоящего Соглашения. 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72. Срок передачи Концессионером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Концеденту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Объекта Соглашения в течение 3 (трех) рабочих дней </w:t>
      </w:r>
      <w:proofErr w:type="gram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с даты прекращения</w:t>
      </w:r>
      <w:proofErr w:type="gram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Соглашения вне зависимости от основания для его прекращения.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73. Срок осуществления Концессионером деятельности по настоящему Соглашению – с момента заключения настоящего Соглашения и подписания актов приема-передачи Объекта Соглашения до прекращения настоящего Соглашения и передачи объектов от Концессионера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Концеденту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XI</w:t>
      </w:r>
      <w:r w:rsidRPr="00CD77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Плата по Соглашению</w:t>
      </w:r>
    </w:p>
    <w:p w:rsidR="00CD7750" w:rsidRPr="00CD7750" w:rsidRDefault="00CD7750" w:rsidP="00CD775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74. </w:t>
      </w:r>
      <w:r w:rsidRPr="00CD7750">
        <w:rPr>
          <w:rFonts w:ascii="Times New Roman" w:hAnsi="Times New Roman" w:cs="Times New Roman"/>
          <w:color w:val="000000"/>
          <w:sz w:val="24"/>
          <w:szCs w:val="24"/>
        </w:rPr>
        <w:t xml:space="preserve">Концессионная плата не предусмотрена. 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</w:t>
      </w:r>
      <w:r w:rsidRPr="00CD7750">
        <w:rPr>
          <w:rFonts w:ascii="Times New Roman" w:eastAsia="Calibri" w:hAnsi="Times New Roman" w:cs="Times New Roman"/>
          <w:b/>
          <w:sz w:val="24"/>
          <w:szCs w:val="24"/>
        </w:rPr>
        <w:t>. Исключительные права на результаты интеллектуальной деятельности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75.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Концеденту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принадлежат исключительные права на результаты интеллектуальной деятельности, полученные Концессионером за свой счет при исполнении настоящего Соглашения.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XIII</w:t>
      </w:r>
      <w:r w:rsidRPr="00CD7750">
        <w:rPr>
          <w:rFonts w:ascii="Times New Roman" w:eastAsia="Calibri" w:hAnsi="Times New Roman" w:cs="Times New Roman"/>
          <w:b/>
          <w:sz w:val="24"/>
          <w:szCs w:val="24"/>
        </w:rPr>
        <w:t xml:space="preserve">. Порядок осуществления </w:t>
      </w:r>
      <w:proofErr w:type="spellStart"/>
      <w:r w:rsidRPr="00CD7750">
        <w:rPr>
          <w:rFonts w:ascii="Times New Roman" w:eastAsia="Calibri" w:hAnsi="Times New Roman" w:cs="Times New Roman"/>
          <w:b/>
          <w:sz w:val="24"/>
          <w:szCs w:val="24"/>
        </w:rPr>
        <w:t>Концедентом</w:t>
      </w:r>
      <w:proofErr w:type="spellEnd"/>
      <w:r w:rsidRPr="00CD7750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контроля за соблюдением Концессионером условий настоящего Соглашения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80. Права и обязанности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Концедента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осуществляются </w:t>
      </w:r>
      <w:r w:rsidRPr="00CD775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CD7750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CD77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81. Права и обязанности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исполнением условий настоящего Соглашения в части исполнения обязательств Концессионера в период реконструкции и эксплуатации Объекта Соглашения осуществляются </w:t>
      </w:r>
      <w:r w:rsidRPr="00CD775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CD7750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CD77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82.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уведомляет Концессионера об иных органах и юридических лицах, уполномоченных осуществлять от его имени права и обязанности, предусмотренные настоящим Соглашением, в разумный срок до начала осуществления указанными органами (юридическими лицами) возложенных на них полномочий, предусмотренных настоящим Соглашением.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83. Ежегодно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осуществляет </w:t>
      </w:r>
      <w:proofErr w:type="gram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соблюдением Концессионером условий настоящего Соглашения, в том числе за исполнением обязательств по осуществлению деятельности, указанной в пункте 1 настоящего Соглашения, обязательств по использованию (эксплуатации) Объекта Соглашения в соответствии с целями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, установленными настоящим Соглашением, а также сроков исполнения обязательств, указанных в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разделе X настоящего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Соглашения.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84. Концессионер обязан обеспечить представителям уполномоченных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Концедентом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органов или юридических лиц, осуществляющим </w:t>
      </w:r>
      <w:proofErr w:type="gramStart"/>
      <w:r w:rsidRPr="00CD775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указанной в пункте 1 настоящего Соглашения</w:t>
      </w:r>
      <w:r w:rsidRPr="00CD77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85.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имеет право запрашивать у Концессионера, а Концессионер обязан предоставить информацию об исполнении Концессионером обязательств, предусмотренных настоящим Соглашением</w:t>
      </w:r>
      <w:r w:rsidRPr="00CD775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86.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не вправе вмешиваться в осуществление хозяйственной деятельности Концессионера.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87. Представители уполномоченных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Концедентом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органов или юридических лиц не вправе разглашать сведения, отнесенные настоящим Соглашением к сведениям конфиденциального характера.</w:t>
      </w:r>
    </w:p>
    <w:p w:rsidR="00CD7750" w:rsidRPr="00CD7750" w:rsidRDefault="00CD7750" w:rsidP="00CD775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88. При обнаружении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ходе осуществления контроля за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деятельностью Концессионера нарушений, которые могут существенно повлиять на соблюдение Концессионером условий настоящего Соглашения,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D7750">
        <w:rPr>
          <w:rFonts w:ascii="Times New Roman" w:eastAsia="Calibri" w:hAnsi="Times New Roman" w:cs="Times New Roman"/>
          <w:sz w:val="24"/>
          <w:szCs w:val="24"/>
        </w:rPr>
        <w:t>обязан</w:t>
      </w:r>
      <w:proofErr w:type="gram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сообщить об этом Концессионеру в течение 10 (десять) календарных дней со дня обнаружения указанных нарушений.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89. Результаты осуществления </w:t>
      </w:r>
      <w:proofErr w:type="gramStart"/>
      <w:r w:rsidRPr="00CD7750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соблюдением Концессионером условий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Соглашения оформляются актом о результатах контроля.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90. Стороны обязаны своевременно предоставлять друг другу информацию, необходимую для исполнения обязанностей, предусмотренных настоящим Соглашением, и </w:t>
      </w:r>
      <w:r w:rsidRPr="00CD7750">
        <w:rPr>
          <w:rFonts w:ascii="Times New Roman" w:eastAsia="Calibri" w:hAnsi="Times New Roman" w:cs="Times New Roman"/>
          <w:sz w:val="24"/>
          <w:szCs w:val="24"/>
        </w:rPr>
        <w:lastRenderedPageBreak/>
        <w:t>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XIV</w:t>
      </w:r>
      <w:r w:rsidRPr="00CD7750">
        <w:rPr>
          <w:rFonts w:ascii="Times New Roman" w:eastAsia="Calibri" w:hAnsi="Times New Roman" w:cs="Times New Roman"/>
          <w:b/>
          <w:sz w:val="24"/>
          <w:szCs w:val="24"/>
        </w:rPr>
        <w:t>. Ответственность Сторон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91. За неисполнение или ненадлежащее исполнение обязательств, предусмотренных настоящим Соглашением, Стороны несут ответственность, предусмотренную законодательством Российской Федерации и настоящим Соглашением. 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92. Концессионер несёт ответственность перед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Концедентом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за допущенное при реконструкции 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93. В случае нарушения требований, указанных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пункте 88 настоящего Соглашения,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proofErr w:type="gram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течение 10 (десяти) календарных дней с даты обнаружения нарушения направить Концессионеру в письменной форме требование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безвозмездно устранить обнаруженное нарушение с указанием пункта настоящего Соглашения и (или) документа, требования которых нарушены. При этом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устанавливает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срок для устранения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нарушений, который составляет не менее 30 (тридцати) календарных дней.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94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</w:rPr>
        <w:t>Концедент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вправе потребовать от Концессионера возмещения причинённых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</w:rPr>
        <w:t>Концеденту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убытков, вызванных нарушением Концессионером требований, указанных в пункте 88 настоящего Соглашения, если эти нарушения не были устранены Концессионером в срок, определенный соглашением Сторон, предусмотренный пунктом 93 настоящего Соглашения.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95. Концессионер несет перед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Концедентом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ответственность за качество работ по реконструкции Объекта Соглашения в течение 5 (пяти) лет с момента передачи Объекта Соглашения по окончании срока действия настоящего Соглашения, установленного пунктом 67</w:t>
      </w:r>
      <w:r w:rsidRPr="00CD7750">
        <w:rPr>
          <w:rFonts w:ascii="Times New Roman" w:eastAsia="Calibri" w:hAnsi="Times New Roman" w:cs="Times New Roman"/>
          <w:sz w:val="24"/>
          <w:szCs w:val="24"/>
        </w:rPr>
        <w:t>настоящего Соглашения. Концессионер с момента передачи объекта несет ответственность за ненадлежащее исполнение настоящего Соглашения, за качество и объемы выполняемых работ (оказываемых услуг).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96.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имеет право на возмещение убытков, возникших в результате неисполнения (в том числе уклонения Концессионера от подписания акта приема-передачи) или ненадлежащего исполнения Концессионером обязательств, предусмотренных настоящим Соглашением. 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97. Концессионер имеет право на возмещение убытков, возникших в результате неисполнения или ненадлежащего исполнения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Концедентом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обязательств, предусмотренных настоящим Соглашением, указанных в пункте 93 настоящего Соглашения.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98. Концессионер обязан уплатить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Концеденту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неустойку в размере одной трехсотой ключевой ставки Центрального банка Российской Федерации, от балансовой стоимости передаваемого имущества, в случае неисполнения или ненадлежащего исполнения Концессионером обязательств, установленных настоящим Соглашением, в том числе в случае нарушения сроков исполнения указанных обязательств.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99. Возмещение Сторонами настоящего Соглашения убытков и уплата неустойки в случае неисполнения или ненадлежащего исполнения обязательств, предусмотренных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настоящим Соглашением, не освобождают соответствующую Сторону от исполнения этого обязательства в натуре.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100. </w:t>
      </w:r>
      <w:proofErr w:type="gramStart"/>
      <w:r w:rsidRPr="00CD7750">
        <w:rPr>
          <w:rFonts w:ascii="Times New Roman" w:eastAsia="Calibri" w:hAnsi="Times New Roman" w:cs="Times New Roman"/>
          <w:sz w:val="24"/>
          <w:szCs w:val="24"/>
        </w:rPr>
        <w:t>Сторона, не исполнившая или исполнившая ненадлежащим образом свои обязательства, предусмотренные настоящим Соглашением, несет ответственность, предусмотренную законодательством Российской Федерации и настоящим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силы.</w:t>
      </w:r>
      <w:proofErr w:type="gramEnd"/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</w:t>
      </w:r>
      <w:r w:rsidRPr="00CD7750">
        <w:rPr>
          <w:rFonts w:ascii="Times New Roman" w:eastAsia="Calibri" w:hAnsi="Times New Roman" w:cs="Times New Roman"/>
          <w:b/>
          <w:sz w:val="24"/>
          <w:szCs w:val="24"/>
        </w:rPr>
        <w:t>. Порядок взаимодействия Сторон при наступлении обстоятельств непреодолимой силы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lastRenderedPageBreak/>
        <w:t>101. Сторона, нарушившая условия настоящего Соглашения в результате наступления обстоятельств непреодолимой силы, обязана: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а) в письменной форме уведомить другую Сторону о наступлении указанных обстоятельств не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позднее 3 (трех) календарных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дней со дня их наступления и представить необходимые документальные подтверждения;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б) в письменной форме уведомить другую Сторону о возобновлении исполнения своих обязательств, предусмотренных настоящим Соглашением.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102. </w:t>
      </w:r>
      <w:proofErr w:type="gramStart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обязательств, предусмотренных настоящим Соглашением, а также до устранения этих последствий предпринять в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течение 10 (десяти) календарных дней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меры, направленные на обеспечение надлежащего осуществления Концессионером деятельности, указанной в пункте 1 настоящего Соглашения.</w:t>
      </w:r>
      <w:proofErr w:type="gramEnd"/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</w:t>
      </w:r>
      <w:r w:rsidRPr="00CD7750">
        <w:rPr>
          <w:rFonts w:ascii="Times New Roman" w:eastAsia="Calibri" w:hAnsi="Times New Roman" w:cs="Times New Roman"/>
          <w:b/>
          <w:sz w:val="24"/>
          <w:szCs w:val="24"/>
        </w:rPr>
        <w:t>. Изменение Соглашения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103. Настоящее Соглашение может быть изменено по соглашению Сторон.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104. </w:t>
      </w:r>
      <w:r w:rsidRPr="00CD7750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 осуществляется в письменной форме. Изменение существенных условий настоящего Соглашения осуществляется по согласованию с антимонопольным органом в порядке, предусмотренном законодательством. Согласие антимонопольного органа получается в </w:t>
      </w:r>
      <w:hyperlink r:id="rId8" w:history="1">
        <w:r w:rsidRPr="00CD7750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CD7750">
        <w:rPr>
          <w:rFonts w:ascii="Times New Roman" w:hAnsi="Times New Roman" w:cs="Times New Roman"/>
          <w:sz w:val="24"/>
          <w:szCs w:val="24"/>
        </w:rPr>
        <w:t xml:space="preserve"> и на условиях, утверждаемых Правительством Российской Федерации.</w:t>
      </w:r>
    </w:p>
    <w:p w:rsidR="00CD7750" w:rsidRPr="00CD7750" w:rsidRDefault="00CD7750" w:rsidP="00CD77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7750">
        <w:rPr>
          <w:rFonts w:ascii="Times New Roman" w:hAnsi="Times New Roman" w:cs="Times New Roman"/>
          <w:sz w:val="24"/>
          <w:szCs w:val="24"/>
        </w:rPr>
        <w:t xml:space="preserve">Изменение значений долгосрочных параметров регулирования деятельности </w:t>
      </w:r>
      <w:r w:rsidRPr="00CD7750">
        <w:rPr>
          <w:rFonts w:ascii="Times New Roman" w:hAnsi="Times New Roman" w:cs="Times New Roman"/>
          <w:sz w:val="24"/>
          <w:szCs w:val="24"/>
          <w:lang w:eastAsia="en-US"/>
        </w:rPr>
        <w:t xml:space="preserve">Концессионера, осуществляется по предварительному согласованию с органом  исполнительной власти или органом местного самоуправления, осуществляющим регулирование цен (тарифов) в соответствии с </w:t>
      </w:r>
      <w:hyperlink r:id="rId9" w:history="1">
        <w:r w:rsidRPr="00CD7750">
          <w:rPr>
            <w:rFonts w:ascii="Times New Roman" w:hAnsi="Times New Roman" w:cs="Times New Roman"/>
            <w:sz w:val="24"/>
            <w:szCs w:val="24"/>
            <w:lang w:eastAsia="en-US"/>
          </w:rPr>
          <w:t>законодательством</w:t>
        </w:r>
      </w:hyperlink>
      <w:r w:rsidRPr="00CD7750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 в сфере регулирования цен  (тарифов), получаемому в порядке, утверждаемом Правительством Российской Федерации.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106. В целях внесения изменений в условия настоящего Соглашения одна из Сторон направляет другой Стороне соответствующее предложение с обоснованием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предлагаемых изменений. Сторона в течение 10 (десяти) календарных дней со дня получения указанного предложения рассматривает его, принимает решение о согласии или о мотивированном отказе внести изменения в условия настоящего Соглашения.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107. Настоящее Соглашение может быть изменено по требованию одной из Сторон по решению суда по основаниям, предусмотренным Гражданским </w:t>
      </w:r>
      <w:hyperlink r:id="rId10" w:history="1">
        <w:r w:rsidRPr="00CD7750">
          <w:rPr>
            <w:rFonts w:ascii="Times New Roman" w:eastAsia="Calibri" w:hAnsi="Times New Roman" w:cs="Times New Roman"/>
            <w:color w:val="000000"/>
            <w:sz w:val="24"/>
            <w:szCs w:val="24"/>
          </w:rPr>
          <w:t>кодексом</w:t>
        </w:r>
      </w:hyperlink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</w:t>
      </w:r>
      <w:r w:rsidRPr="00CD7750">
        <w:rPr>
          <w:rFonts w:ascii="Times New Roman" w:eastAsia="Calibri" w:hAnsi="Times New Roman" w:cs="Times New Roman"/>
          <w:b/>
          <w:sz w:val="24"/>
          <w:szCs w:val="24"/>
        </w:rPr>
        <w:t>. Прекращение Соглашения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108. Настоящее Соглашение прекращается: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а) по истечении срока действия;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б) по соглашению Сторон;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в) на основании судебного решения о его досрочном расторжении.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109. Настоящее Соглашение может быть расторгнуто досрочно на основании решения суда по требованию одной из Сторон, в случае существенного нарушения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 и настоящим Соглашением.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110. В случае досрочного расторжения настоящего Соглашения, возмещение расходов Сторон определяется по соглашению сторон либо в судебном порядке. 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111. К существенным нарушениям Концессионером условий настоящего Соглашения относятся: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а) нарушение установленных пунктом 68 настоящего Соглашения сроков создания и (или) реконструкции Объекта Соглашения;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б) использование (эксплуатация) Объекта Соглашения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в целях, не установленных настоящим Соглашением;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в) неисполнение или ненадлежащее исполнение Концессионером обязательств, установленных настоящим Соглашением;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г) прекращение или приостановление Концессионером деятельности, предусмотренной настоящим Соглашением, без согласия </w:t>
      </w:r>
      <w:proofErr w:type="spell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д) неисполнение или ненадлежащее исполнение Концессионером обязательств, указанных в пункте 55 настоящего Соглашения, по предоставлению гражданам и другим потребителям товаров, работ, услуг, в том числе услуг по водоснабжению, водоотведению;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е) нарушение установленного настоящим Соглашением порядка использования (эксплуатации) объекта Соглашения.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112. К существенным нарушениям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Концедентом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условий настоящего Соглашения относятся: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а) невыполнение в срок, установленный в пункте 71 настоящего Соглашения,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обязанности по передаче Концессионеру Объекта Соглашения;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б) передача Концессионеру объекта Соглашения по описанию, технико-экономическим показателям, назначению и в состоянии, не соответствующем установленному </w:t>
      </w: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Приложениями № 1, № 2, № 3 к настоящему Соглашению, в случае</w:t>
      </w: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, если такое несоответствие выявлено в течение одного года с момента подписания Сторонами Соглашения акта приема-передачи, не могло быть выявлено при передаче Объекта Соглашения, и возникло по вине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Концедента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XVIII</w:t>
      </w:r>
      <w:r w:rsidRPr="00CD77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Гарантии осуществления Концессионером деятельности, предусмотренной Соглашением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113. </w:t>
      </w:r>
      <w:proofErr w:type="gram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законодательством о концессионных соглашениях органы исполнительной власти в области регулирования цен (тарифов) на выполняемые Концессионером работы и оказываемые услуги устанавливают цены (тарифы) и (или) надбавки к ценам (тарифам) исходя из определенных настоящим Соглашением объема инвестиций и сроков их осуществления, предусмотренных настоящим Соглашением на реконструкцию Объекта концессионного соглашения, а также значений долгосрочных параметров регулирования деятельности Концессионера, указанных в</w:t>
      </w:r>
      <w:proofErr w:type="gram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Приложении</w:t>
      </w:r>
      <w:proofErr w:type="gramEnd"/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№3 настоящего соглашения. Установление, изменение, корректировка регулируемых цен (тарифов) осуществляются в соответствии с действующим законодательством в сфере тарифного регулирования. 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color w:val="000000"/>
          <w:sz w:val="24"/>
          <w:szCs w:val="24"/>
        </w:rPr>
        <w:t>114. Концессионер обязан обеспечивать при осуществлении деятельности, предусмотренной настоящим Соглашением, возможность получения потребителями соответствующих товаров, работ, услуг надлежащего качества.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CD7750">
        <w:rPr>
          <w:rFonts w:ascii="Times New Roman" w:eastAsia="Calibri" w:hAnsi="Times New Roman" w:cs="Times New Roman"/>
          <w:b/>
          <w:sz w:val="24"/>
          <w:szCs w:val="24"/>
        </w:rPr>
        <w:t>. Разрешение споров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115. Споры и разногласия между Сторонами по настоящему Соглашению или в связи с ним разрешаются путем переговоров.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116. В случае не 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30 (тридцати) календарных дней со дня ее получения. В случае если ответ не представлен в указанный срок, претензия считается принятой.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Претензия (ответ на претензию) направляется с уведомлением о вручении или иным способом, обеспечивающим получение Стороной такого сообщения.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117. В случае не достижения Сторонами согласия споры, возникшие между Сторонами, разрешаются в соответствии с законодательством Российской Федерации.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CD7750">
        <w:rPr>
          <w:rFonts w:ascii="Times New Roman" w:eastAsia="Calibri" w:hAnsi="Times New Roman" w:cs="Times New Roman"/>
          <w:b/>
          <w:sz w:val="24"/>
          <w:szCs w:val="24"/>
        </w:rPr>
        <w:t>. Размещение информации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118. </w:t>
      </w:r>
      <w:proofErr w:type="gramStart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Настоящее Соглашение, за исключением сведений, составляющих государственную и коммерческую тайну, подлежит размещению на </w:t>
      </w:r>
      <w:hyperlink r:id="rId11" w:history="1">
        <w:r w:rsidRPr="00CD7750">
          <w:rPr>
            <w:rFonts w:ascii="Times New Roman" w:eastAsia="Calibri" w:hAnsi="Times New Roman" w:cs="Times New Roman"/>
            <w:sz w:val="24"/>
            <w:szCs w:val="24"/>
          </w:rPr>
          <w:t>официальном сайте</w:t>
        </w:r>
      </w:hyperlink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Российской </w:t>
      </w:r>
      <w:r w:rsidRPr="00CD77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Федерации в информационно-телекоммуникационной сети «Интернет» для размещения информации о проведении торгов, определённом Правительством Российской Федерации, а также на официальном сайте </w:t>
      </w:r>
      <w:proofErr w:type="spellStart"/>
      <w:r w:rsidRPr="00CD7750">
        <w:rPr>
          <w:rFonts w:ascii="Times New Roman" w:eastAsia="Calibri" w:hAnsi="Times New Roman" w:cs="Times New Roman"/>
          <w:sz w:val="24"/>
          <w:szCs w:val="24"/>
        </w:rPr>
        <w:t>Концедента</w:t>
      </w:r>
      <w:proofErr w:type="spellEnd"/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 или в случае отсутствия у муниципального образования официального сайта в информационно-телекоммуникационной сети «Интернет» на официальном сайте субъекта Российской Федерации</w:t>
      </w:r>
      <w:proofErr w:type="gramEnd"/>
      <w:r w:rsidRPr="00CD7750">
        <w:rPr>
          <w:rFonts w:ascii="Times New Roman" w:eastAsia="Calibri" w:hAnsi="Times New Roman" w:cs="Times New Roman"/>
          <w:sz w:val="24"/>
          <w:szCs w:val="24"/>
        </w:rPr>
        <w:t>, в установленном законом порядке.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</w:t>
      </w:r>
      <w:r w:rsidRPr="00CD7750">
        <w:rPr>
          <w:rFonts w:ascii="Times New Roman" w:eastAsia="Calibri" w:hAnsi="Times New Roman" w:cs="Times New Roman"/>
          <w:b/>
          <w:sz w:val="24"/>
          <w:szCs w:val="24"/>
        </w:rPr>
        <w:t>. Заключительные положения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119. Сторона, изменившая свое местонахождение и (или) реквизиты, обязана сообщить об этом другой Стороне в течение 10 (десяти) календарных дней со дня этого изменения.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 xml:space="preserve">120. Настоящее Соглашение составлено на русском языке в 4 (четырех) подлинных экземплярах, имеющих равную юридическую силу. 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121. Все приложения и дополнительные соглашения к настоящему Соглашению, заключенные, как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XXII</w:t>
      </w:r>
      <w:r w:rsidRPr="00CD7750">
        <w:rPr>
          <w:rFonts w:ascii="Times New Roman" w:eastAsia="Calibri" w:hAnsi="Times New Roman" w:cs="Times New Roman"/>
          <w:b/>
          <w:sz w:val="24"/>
          <w:szCs w:val="24"/>
        </w:rPr>
        <w:t>. Адреса и реквизиты Сторон</w:t>
      </w:r>
    </w:p>
    <w:p w:rsidR="00CD7750" w:rsidRPr="00CD7750" w:rsidRDefault="00CD7750" w:rsidP="00CD7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Концедент:_____________________________________________________________________________________________________________________</w:t>
      </w:r>
    </w:p>
    <w:p w:rsidR="00F44847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Концессионер:___________________________________________________________________________________________________________________</w:t>
      </w: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Default="00CD7750" w:rsidP="00CD77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750" w:rsidRPr="00CD7750" w:rsidRDefault="00CD7750" w:rsidP="00CD7750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CD7750" w:rsidRPr="00CD7750" w:rsidRDefault="00CD7750" w:rsidP="00CD7750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7750">
        <w:rPr>
          <w:rFonts w:ascii="Times New Roman" w:eastAsia="Calibri" w:hAnsi="Times New Roman" w:cs="Times New Roman"/>
          <w:sz w:val="24"/>
          <w:szCs w:val="24"/>
        </w:rPr>
        <w:t>к Соглашению</w:t>
      </w:r>
    </w:p>
    <w:p w:rsidR="00CD7750" w:rsidRPr="00CD7750" w:rsidRDefault="00CD7750" w:rsidP="00CD775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7750" w:rsidRPr="00CD7750" w:rsidRDefault="00CD7750" w:rsidP="00CD775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750">
        <w:rPr>
          <w:rFonts w:ascii="Times New Roman" w:eastAsia="Calibri" w:hAnsi="Times New Roman" w:cs="Times New Roman"/>
          <w:b/>
          <w:sz w:val="24"/>
          <w:szCs w:val="24"/>
        </w:rPr>
        <w:t xml:space="preserve">Копии правоустанавливающих документов, удостоверяющих право собственности </w:t>
      </w:r>
      <w:proofErr w:type="spellStart"/>
      <w:r w:rsidRPr="00CD7750">
        <w:rPr>
          <w:rFonts w:ascii="Times New Roman" w:eastAsia="Calibri" w:hAnsi="Times New Roman" w:cs="Times New Roman"/>
          <w:b/>
          <w:sz w:val="24"/>
          <w:szCs w:val="24"/>
        </w:rPr>
        <w:t>Концедента</w:t>
      </w:r>
      <w:proofErr w:type="spellEnd"/>
      <w:r w:rsidRPr="00CD7750">
        <w:rPr>
          <w:rFonts w:ascii="Times New Roman" w:eastAsia="Calibri" w:hAnsi="Times New Roman" w:cs="Times New Roman"/>
          <w:b/>
          <w:sz w:val="24"/>
          <w:szCs w:val="24"/>
        </w:rPr>
        <w:t xml:space="preserve"> на имущество, входящее в состав Объекта Соглашения</w:t>
      </w:r>
    </w:p>
    <w:p w:rsidR="00CD7750" w:rsidRDefault="00CD7750" w:rsidP="00CD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2" name="Рисунок 1" descr="C:\Documents and Settings\Valentina\Рабочий стол\со сканера\свидетельство очистные Радищ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alentina\Рабочий стол\со сканера\свидетельство очистные Радищев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750" w:rsidRDefault="00CD7750" w:rsidP="00CD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750" w:rsidRDefault="00CD7750" w:rsidP="00CD7750">
      <w:pPr>
        <w:rPr>
          <w:rFonts w:eastAsia="Calibri"/>
          <w:szCs w:val="28"/>
        </w:rPr>
        <w:sectPr w:rsidR="00CD77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750" w:rsidRPr="00CD7750" w:rsidRDefault="00CD7750" w:rsidP="00CD775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D7750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 2</w:t>
      </w:r>
    </w:p>
    <w:p w:rsidR="00CD7750" w:rsidRPr="00CD7750" w:rsidRDefault="00CD7750" w:rsidP="00CD775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D7750">
        <w:rPr>
          <w:rFonts w:ascii="Times New Roman" w:eastAsia="Calibri" w:hAnsi="Times New Roman" w:cs="Times New Roman"/>
          <w:sz w:val="20"/>
          <w:szCs w:val="20"/>
        </w:rPr>
        <w:t>к Соглашению</w:t>
      </w:r>
    </w:p>
    <w:p w:rsidR="00CD7750" w:rsidRPr="00CD7750" w:rsidRDefault="00CD7750" w:rsidP="00CD775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D7750" w:rsidRPr="00CD7750" w:rsidRDefault="00CD7750" w:rsidP="00CD7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7750">
        <w:rPr>
          <w:rFonts w:ascii="Times New Roman" w:eastAsia="Calibri" w:hAnsi="Times New Roman" w:cs="Times New Roman"/>
          <w:b/>
          <w:sz w:val="20"/>
          <w:szCs w:val="20"/>
        </w:rPr>
        <w:t>Состав и описание, в том числе о технико-экономические показатели</w:t>
      </w:r>
    </w:p>
    <w:p w:rsidR="00CD7750" w:rsidRPr="00CD7750" w:rsidRDefault="00CD7750" w:rsidP="00CD77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7750">
        <w:rPr>
          <w:rFonts w:ascii="Times New Roman" w:eastAsia="Calibri" w:hAnsi="Times New Roman" w:cs="Times New Roman"/>
          <w:b/>
          <w:sz w:val="20"/>
          <w:szCs w:val="20"/>
        </w:rPr>
        <w:t>передаваемых объектов в составе Объекта Соглашения</w:t>
      </w:r>
    </w:p>
    <w:tbl>
      <w:tblPr>
        <w:tblW w:w="1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701"/>
        <w:gridCol w:w="1275"/>
        <w:gridCol w:w="1985"/>
        <w:gridCol w:w="1439"/>
        <w:gridCol w:w="1821"/>
        <w:gridCol w:w="1276"/>
        <w:gridCol w:w="1559"/>
        <w:gridCol w:w="1559"/>
      </w:tblGrid>
      <w:tr w:rsidR="00CD7750" w:rsidRPr="00CD7750" w:rsidTr="00F44847">
        <w:trPr>
          <w:trHeight w:val="20"/>
          <w:tblHeader/>
          <w:jc w:val="center"/>
        </w:trPr>
        <w:tc>
          <w:tcPr>
            <w:tcW w:w="560" w:type="dxa"/>
            <w:shd w:val="clear" w:color="auto" w:fill="D9D9D9" w:themeFill="background1" w:themeFillShade="D9"/>
          </w:tcPr>
          <w:p w:rsidR="00CD7750" w:rsidRPr="00CD7750" w:rsidRDefault="00CD7750" w:rsidP="00CD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D77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D775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D7750" w:rsidRPr="00CD7750" w:rsidRDefault="00CD7750" w:rsidP="00CD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75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D7750" w:rsidRPr="00CD7750" w:rsidRDefault="00CD7750" w:rsidP="00CD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750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Местонахождение, кадастровый номер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D7750" w:rsidRPr="00CD7750" w:rsidRDefault="00CD7750" w:rsidP="00CD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750">
              <w:rPr>
                <w:rFonts w:ascii="Times New Roman" w:hAnsi="Times New Roman" w:cs="Times New Roman"/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D7750" w:rsidRPr="00CD7750" w:rsidRDefault="00CD7750" w:rsidP="00CD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D7750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показатели (общая площадь объекта, кв. м; протяжённость сетей, м; мощность и т.д.)</w:t>
            </w:r>
            <w:proofErr w:type="gramEnd"/>
          </w:p>
        </w:tc>
        <w:tc>
          <w:tcPr>
            <w:tcW w:w="1439" w:type="dxa"/>
            <w:shd w:val="clear" w:color="auto" w:fill="D9D9D9" w:themeFill="background1" w:themeFillShade="D9"/>
          </w:tcPr>
          <w:p w:rsidR="00CD7750" w:rsidRPr="00CD7750" w:rsidRDefault="00CD7750" w:rsidP="00CD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50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(пригодное / непригодное для осуществления деятельности)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CD7750" w:rsidRPr="00CD7750" w:rsidRDefault="00CD7750" w:rsidP="00CD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750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строительстве, реконструкции объекта (существует, отсутствует)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D7750" w:rsidRPr="00CD7750" w:rsidRDefault="00CD7750" w:rsidP="00CD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750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объем инвестиций, тыс. руб.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D7750" w:rsidRPr="00CD7750" w:rsidRDefault="00CD7750" w:rsidP="00CD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750"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Первоначальная балансовая стоимость на 01.11.2017,тыс. руб.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D7750" w:rsidRPr="00CD7750" w:rsidRDefault="00CD7750" w:rsidP="00CD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750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 балансовая стоимость на 01.11.2017,тыс. руб.</w:t>
            </w:r>
          </w:p>
        </w:tc>
      </w:tr>
      <w:tr w:rsidR="00CD7750" w:rsidRPr="00CD7750" w:rsidTr="00F44847">
        <w:trPr>
          <w:trHeight w:val="20"/>
          <w:jc w:val="center"/>
        </w:trPr>
        <w:tc>
          <w:tcPr>
            <w:tcW w:w="560" w:type="dxa"/>
          </w:tcPr>
          <w:p w:rsidR="00CD7750" w:rsidRPr="00CD7750" w:rsidRDefault="00CD7750" w:rsidP="00CD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D7750" w:rsidRPr="00CD7750" w:rsidRDefault="00CD7750" w:rsidP="00CD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50">
              <w:rPr>
                <w:rFonts w:ascii="Times New Roman" w:hAnsi="Times New Roman" w:cs="Times New Roman"/>
                <w:sz w:val="20"/>
                <w:szCs w:val="20"/>
              </w:rPr>
              <w:t>Модульные очистные сооружения с биологической очисткой</w:t>
            </w:r>
          </w:p>
        </w:tc>
        <w:tc>
          <w:tcPr>
            <w:tcW w:w="1701" w:type="dxa"/>
          </w:tcPr>
          <w:p w:rsidR="00CD7750" w:rsidRPr="00CD7750" w:rsidRDefault="00CD7750" w:rsidP="00CD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50">
              <w:rPr>
                <w:rFonts w:ascii="Times New Roman" w:hAnsi="Times New Roman" w:cs="Times New Roman"/>
                <w:sz w:val="20"/>
                <w:szCs w:val="20"/>
              </w:rPr>
              <w:t>Ивановская область, г. Фурманов, ул. Радищева, 37:27:010110:52</w:t>
            </w:r>
          </w:p>
        </w:tc>
        <w:tc>
          <w:tcPr>
            <w:tcW w:w="1275" w:type="dxa"/>
          </w:tcPr>
          <w:p w:rsidR="00CD7750" w:rsidRPr="00CD7750" w:rsidRDefault="00CD7750" w:rsidP="00CD7750">
            <w:pPr>
              <w:spacing w:after="0" w:line="240" w:lineRule="auto"/>
              <w:ind w:firstLine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50">
              <w:rPr>
                <w:rFonts w:ascii="Times New Roman" w:hAnsi="Times New Roman" w:cs="Times New Roman"/>
                <w:sz w:val="20"/>
                <w:szCs w:val="20"/>
              </w:rPr>
              <w:t>08.12.2011</w:t>
            </w:r>
          </w:p>
        </w:tc>
        <w:tc>
          <w:tcPr>
            <w:tcW w:w="1985" w:type="dxa"/>
          </w:tcPr>
          <w:p w:rsidR="00CD7750" w:rsidRPr="00CD7750" w:rsidRDefault="00CD7750" w:rsidP="00CD7750">
            <w:pPr>
              <w:spacing w:after="0" w:line="240" w:lineRule="auto"/>
              <w:ind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50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назначение: комплекс объектов внешнего благоустройства, инвентарный №24:409:002:000065450, сведения об объектах недвижимости, входящих в состав: трубопровод напорной канализации лит. </w:t>
            </w:r>
            <w:proofErr w:type="gramStart"/>
            <w:r w:rsidRPr="00CD775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D77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D7750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  <w:proofErr w:type="gramEnd"/>
            <w:r w:rsidRPr="00CD7750">
              <w:rPr>
                <w:rFonts w:ascii="Times New Roman" w:hAnsi="Times New Roman" w:cs="Times New Roman"/>
                <w:sz w:val="20"/>
                <w:szCs w:val="20"/>
              </w:rPr>
              <w:t xml:space="preserve"> 107 м.); оголовок очищенных сточных вод лит. </w:t>
            </w:r>
            <w:r w:rsidRPr="00CD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proofErr w:type="gramStart"/>
            <w:r w:rsidRPr="00CD7750">
              <w:rPr>
                <w:rFonts w:ascii="Times New Roman" w:hAnsi="Times New Roman" w:cs="Times New Roman"/>
                <w:sz w:val="20"/>
                <w:szCs w:val="20"/>
              </w:rPr>
              <w:t>;накопительный</w:t>
            </w:r>
            <w:proofErr w:type="gramEnd"/>
            <w:r w:rsidRPr="00CD7750">
              <w:rPr>
                <w:rFonts w:ascii="Times New Roman" w:hAnsi="Times New Roman" w:cs="Times New Roman"/>
                <w:sz w:val="20"/>
                <w:szCs w:val="20"/>
              </w:rPr>
              <w:t xml:space="preserve"> резервуар лит. </w:t>
            </w:r>
            <w:r w:rsidRPr="00CD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D77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D7750">
              <w:rPr>
                <w:rFonts w:ascii="Times New Roman" w:hAnsi="Times New Roman" w:cs="Times New Roman"/>
                <w:sz w:val="20"/>
                <w:szCs w:val="20"/>
              </w:rPr>
              <w:t>застр</w:t>
            </w:r>
            <w:proofErr w:type="spellEnd"/>
            <w:r w:rsidRPr="00CD7750">
              <w:rPr>
                <w:rFonts w:ascii="Times New Roman" w:hAnsi="Times New Roman" w:cs="Times New Roman"/>
                <w:sz w:val="20"/>
                <w:szCs w:val="20"/>
              </w:rPr>
              <w:t xml:space="preserve">. Площадью 8,7 кв.м., глубиной 4,27 м); модульные очистные сооружения </w:t>
            </w:r>
            <w:proofErr w:type="gramStart"/>
            <w:r w:rsidRPr="00CD7750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CD77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D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D77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D7750">
              <w:rPr>
                <w:rFonts w:ascii="Times New Roman" w:hAnsi="Times New Roman" w:cs="Times New Roman"/>
                <w:sz w:val="20"/>
                <w:szCs w:val="20"/>
              </w:rPr>
              <w:t>застр</w:t>
            </w:r>
            <w:proofErr w:type="spellEnd"/>
            <w:r w:rsidRPr="00CD7750">
              <w:rPr>
                <w:rFonts w:ascii="Times New Roman" w:hAnsi="Times New Roman" w:cs="Times New Roman"/>
                <w:sz w:val="20"/>
                <w:szCs w:val="20"/>
              </w:rPr>
              <w:t>. площадью 8</w:t>
            </w:r>
            <w:proofErr w:type="gramStart"/>
            <w:r w:rsidRPr="00CD775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proofErr w:type="gramEnd"/>
            <w:r w:rsidRPr="00CD7750">
              <w:rPr>
                <w:rFonts w:ascii="Times New Roman" w:hAnsi="Times New Roman" w:cs="Times New Roman"/>
                <w:sz w:val="20"/>
                <w:szCs w:val="20"/>
              </w:rPr>
              <w:t xml:space="preserve"> кв.м.)</w:t>
            </w:r>
          </w:p>
        </w:tc>
        <w:tc>
          <w:tcPr>
            <w:tcW w:w="1439" w:type="dxa"/>
          </w:tcPr>
          <w:p w:rsidR="00CD7750" w:rsidRPr="00CD7750" w:rsidRDefault="00CD7750" w:rsidP="00CD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50">
              <w:rPr>
                <w:rFonts w:ascii="Times New Roman" w:hAnsi="Times New Roman" w:cs="Times New Roman"/>
                <w:sz w:val="20"/>
                <w:szCs w:val="20"/>
              </w:rPr>
              <w:t>пригодное</w:t>
            </w:r>
          </w:p>
        </w:tc>
        <w:tc>
          <w:tcPr>
            <w:tcW w:w="1821" w:type="dxa"/>
          </w:tcPr>
          <w:p w:rsidR="00CD7750" w:rsidRPr="00CD7750" w:rsidRDefault="00CD7750" w:rsidP="00CD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50">
              <w:rPr>
                <w:rFonts w:ascii="Times New Roman" w:hAnsi="Times New Roman" w:cs="Times New Roman"/>
                <w:sz w:val="20"/>
                <w:szCs w:val="20"/>
              </w:rPr>
              <w:t>существует</w:t>
            </w:r>
          </w:p>
        </w:tc>
        <w:tc>
          <w:tcPr>
            <w:tcW w:w="1276" w:type="dxa"/>
          </w:tcPr>
          <w:p w:rsidR="00CD7750" w:rsidRPr="00CD7750" w:rsidRDefault="00CD7750" w:rsidP="00CD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5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59" w:type="dxa"/>
          </w:tcPr>
          <w:p w:rsidR="00CD7750" w:rsidRPr="00CD7750" w:rsidRDefault="00CD7750" w:rsidP="00CD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50">
              <w:rPr>
                <w:rFonts w:ascii="Times New Roman" w:hAnsi="Times New Roman" w:cs="Times New Roman"/>
                <w:sz w:val="20"/>
                <w:szCs w:val="20"/>
              </w:rPr>
              <w:t>1 715,1</w:t>
            </w:r>
          </w:p>
          <w:p w:rsidR="00CD7750" w:rsidRPr="00CD7750" w:rsidRDefault="00CD7750" w:rsidP="00CD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750" w:rsidRPr="00CD7750" w:rsidRDefault="00CD7750" w:rsidP="00CD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50">
              <w:rPr>
                <w:rFonts w:ascii="Times New Roman" w:hAnsi="Times New Roman" w:cs="Times New Roman"/>
                <w:sz w:val="20"/>
                <w:szCs w:val="20"/>
              </w:rPr>
              <w:t>1 505,4</w:t>
            </w:r>
          </w:p>
        </w:tc>
      </w:tr>
    </w:tbl>
    <w:p w:rsidR="00CD7750" w:rsidRDefault="00CD7750" w:rsidP="00CD7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7750" w:rsidRDefault="00CD7750" w:rsidP="00CD7750">
      <w:pPr>
        <w:rPr>
          <w:rFonts w:eastAsia="Calibri"/>
          <w:szCs w:val="28"/>
        </w:rPr>
      </w:pPr>
    </w:p>
    <w:p w:rsidR="00F92136" w:rsidRPr="00F92136" w:rsidRDefault="00F92136" w:rsidP="00F16A66">
      <w:pPr>
        <w:spacing w:after="0"/>
        <w:jc w:val="right"/>
        <w:rPr>
          <w:rFonts w:ascii="Times New Roman" w:eastAsia="Calibri" w:hAnsi="Times New Roman" w:cs="Times New Roman"/>
        </w:rPr>
      </w:pPr>
      <w:r w:rsidRPr="00F92136">
        <w:rPr>
          <w:rFonts w:ascii="Times New Roman" w:eastAsia="Calibri" w:hAnsi="Times New Roman" w:cs="Times New Roman"/>
        </w:rPr>
        <w:lastRenderedPageBreak/>
        <w:t>Приложение № 3</w:t>
      </w:r>
    </w:p>
    <w:p w:rsidR="00F92136" w:rsidRPr="00F92136" w:rsidRDefault="00F92136" w:rsidP="00F16A66">
      <w:pPr>
        <w:spacing w:after="0"/>
        <w:jc w:val="right"/>
        <w:rPr>
          <w:rFonts w:ascii="Times New Roman" w:eastAsia="Calibri" w:hAnsi="Times New Roman" w:cs="Times New Roman"/>
        </w:rPr>
      </w:pPr>
      <w:r w:rsidRPr="00F9213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F16A66">
        <w:rPr>
          <w:rFonts w:ascii="Times New Roman" w:eastAsia="Calibri" w:hAnsi="Times New Roman" w:cs="Times New Roman"/>
        </w:rPr>
        <w:t>к Соглашению</w:t>
      </w:r>
    </w:p>
    <w:p w:rsidR="00F92136" w:rsidRPr="00F92136" w:rsidRDefault="00F92136" w:rsidP="00124743">
      <w:pPr>
        <w:pStyle w:val="a6"/>
        <w:spacing w:after="0" w:line="276" w:lineRule="auto"/>
        <w:rPr>
          <w:bCs/>
          <w:sz w:val="22"/>
          <w:szCs w:val="22"/>
        </w:rPr>
      </w:pPr>
    </w:p>
    <w:p w:rsidR="00F92136" w:rsidRPr="00F92136" w:rsidRDefault="00F92136" w:rsidP="00F16A66">
      <w:pPr>
        <w:spacing w:after="0"/>
        <w:jc w:val="center"/>
        <w:rPr>
          <w:rFonts w:ascii="Times New Roman" w:hAnsi="Times New Roman" w:cs="Times New Roman"/>
          <w:b/>
        </w:rPr>
      </w:pPr>
      <w:r w:rsidRPr="00F92136">
        <w:rPr>
          <w:rFonts w:ascii="Times New Roman" w:hAnsi="Times New Roman" w:cs="Times New Roman"/>
          <w:b/>
        </w:rPr>
        <w:t xml:space="preserve">Задание </w:t>
      </w:r>
      <w:proofErr w:type="spellStart"/>
      <w:r w:rsidRPr="00F92136">
        <w:rPr>
          <w:rFonts w:ascii="Times New Roman" w:hAnsi="Times New Roman" w:cs="Times New Roman"/>
          <w:b/>
        </w:rPr>
        <w:t>Концедента</w:t>
      </w:r>
      <w:proofErr w:type="spellEnd"/>
    </w:p>
    <w:p w:rsidR="00F92136" w:rsidRPr="00F92136" w:rsidRDefault="00F92136" w:rsidP="00F16A66">
      <w:pPr>
        <w:pStyle w:val="ae"/>
        <w:spacing w:line="276" w:lineRule="auto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b/>
          <w:sz w:val="22"/>
          <w:szCs w:val="22"/>
          <w:lang w:val="ru-RU"/>
        </w:rPr>
      </w:pPr>
      <w:r w:rsidRPr="00F92136">
        <w:rPr>
          <w:rFonts w:ascii="Times New Roman" w:hAnsi="Times New Roman"/>
          <w:b/>
          <w:sz w:val="22"/>
          <w:szCs w:val="22"/>
          <w:lang w:val="ru-RU"/>
        </w:rPr>
        <w:t>1. Основание для разработки задания.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 xml:space="preserve">Настоящее задание </w:t>
      </w:r>
      <w:proofErr w:type="spellStart"/>
      <w:r w:rsidRPr="00F92136">
        <w:rPr>
          <w:rFonts w:ascii="Times New Roman" w:hAnsi="Times New Roman"/>
          <w:sz w:val="22"/>
          <w:szCs w:val="22"/>
          <w:lang w:val="ru-RU"/>
        </w:rPr>
        <w:t>концедента</w:t>
      </w:r>
      <w:proofErr w:type="spellEnd"/>
      <w:r w:rsidRPr="00F92136">
        <w:rPr>
          <w:rFonts w:ascii="Times New Roman" w:hAnsi="Times New Roman"/>
          <w:sz w:val="22"/>
          <w:szCs w:val="22"/>
          <w:lang w:val="ru-RU"/>
        </w:rPr>
        <w:t xml:space="preserve"> разработано на основании: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>- Федерального закона от 7 декабря 2011г. № 416-ФЗ «О водоснабжении и водоотведении».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b/>
          <w:sz w:val="22"/>
          <w:szCs w:val="22"/>
          <w:lang w:val="ru-RU"/>
        </w:rPr>
      </w:pPr>
      <w:r w:rsidRPr="00F92136">
        <w:rPr>
          <w:rFonts w:ascii="Times New Roman" w:hAnsi="Times New Roman"/>
          <w:b/>
          <w:sz w:val="22"/>
          <w:szCs w:val="22"/>
          <w:lang w:val="ru-RU"/>
        </w:rPr>
        <w:t>2. Цели задания.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 xml:space="preserve">2.1. Надежная эксплуатация модульных очистных сооружений с применением прогрессивных технологий, материалов и оборудования; 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 xml:space="preserve">2.2. Снижение риска загрязнения природных водных объектов сточными водами и улучшение экологической ситуации на территории </w:t>
      </w:r>
      <w:proofErr w:type="spellStart"/>
      <w:r w:rsidRPr="00F92136">
        <w:rPr>
          <w:rFonts w:ascii="Times New Roman" w:hAnsi="Times New Roman"/>
          <w:sz w:val="22"/>
          <w:szCs w:val="22"/>
          <w:lang w:val="ru-RU"/>
        </w:rPr>
        <w:t>Фурмановского</w:t>
      </w:r>
      <w:proofErr w:type="spellEnd"/>
      <w:r w:rsidRPr="00F92136">
        <w:rPr>
          <w:rFonts w:ascii="Times New Roman" w:hAnsi="Times New Roman"/>
          <w:sz w:val="22"/>
          <w:szCs w:val="22"/>
          <w:lang w:val="ru-RU"/>
        </w:rPr>
        <w:t xml:space="preserve"> муниципального района;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b/>
          <w:sz w:val="22"/>
          <w:szCs w:val="22"/>
          <w:lang w:val="ru-RU"/>
        </w:rPr>
      </w:pPr>
      <w:r w:rsidRPr="00F92136">
        <w:rPr>
          <w:rFonts w:ascii="Times New Roman" w:hAnsi="Times New Roman"/>
          <w:b/>
          <w:sz w:val="22"/>
          <w:szCs w:val="22"/>
          <w:lang w:val="ru-RU"/>
        </w:rPr>
        <w:t>3. Задачи.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 xml:space="preserve">Для достижения стратегических целей необходимо комплексное решение следующих приоритетных задач: 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>3.1. Повышение качества очистки сточных вод, доведение качества очищенных сточных вод до требований действующих нормативных документов;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>3.2. Повышение надежности работы очистных сооружений;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>3.3. Энергосбережение и повышение энергетической эффективности очистных сооружений;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>3.4. Снижение удельных расходов энергетических ресурсов;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>3.5. Защита очистных сооружений от угроз техногенного, природного характера и террористических актов, предотвращение возникновения аварийных ситуаций, снижение риска и смягчение последствий чрезвычайных ситуаций.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b/>
          <w:sz w:val="22"/>
          <w:szCs w:val="22"/>
          <w:lang w:val="ru-RU"/>
        </w:rPr>
      </w:pPr>
      <w:r w:rsidRPr="00F92136">
        <w:rPr>
          <w:rFonts w:ascii="Times New Roman" w:hAnsi="Times New Roman"/>
          <w:b/>
          <w:sz w:val="22"/>
          <w:szCs w:val="22"/>
          <w:lang w:val="ru-RU"/>
        </w:rPr>
        <w:t>4. Плановые значения показателей надежности, качества и энергетической эффективности объектов централизованных систем водоотведения.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b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u w:val="single"/>
          <w:lang w:val="ru-RU"/>
        </w:rPr>
        <w:t>4.1. Показатели надежности и бесперебойности водоотведения: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>4.1.1. Удельное количество аварий и засоров в расчете на протяженность канализационной сети в год (ед./</w:t>
      </w:r>
      <w:proofErr w:type="gramStart"/>
      <w:r w:rsidRPr="00F92136">
        <w:rPr>
          <w:rFonts w:ascii="Times New Roman" w:hAnsi="Times New Roman"/>
          <w:sz w:val="22"/>
          <w:szCs w:val="22"/>
          <w:lang w:val="ru-RU"/>
        </w:rPr>
        <w:t>км</w:t>
      </w:r>
      <w:proofErr w:type="gramEnd"/>
      <w:r w:rsidRPr="00F92136">
        <w:rPr>
          <w:rFonts w:ascii="Times New Roman" w:hAnsi="Times New Roman"/>
          <w:sz w:val="22"/>
          <w:szCs w:val="22"/>
          <w:lang w:val="ru-RU"/>
        </w:rPr>
        <w:t>) – 0%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u w:val="single"/>
          <w:lang w:val="ru-RU"/>
        </w:rPr>
        <w:t>4.2. Плановые показатели качества очистки сточных вод: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>4.2.1.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 –0%;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>4.2.2. 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– 0%;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 xml:space="preserve">4.2.3. </w:t>
      </w:r>
      <w:proofErr w:type="gramStart"/>
      <w:r w:rsidRPr="00F92136">
        <w:rPr>
          <w:rFonts w:ascii="Times New Roman" w:hAnsi="Times New Roman"/>
          <w:sz w:val="22"/>
          <w:szCs w:val="22"/>
          <w:lang w:val="ru-RU"/>
        </w:rPr>
        <w:t>Доля проб сточных вод, не соответствующих установленным нормативам допустимых сбросов, лимитам на сбросы</w:t>
      </w:r>
      <w:r w:rsidR="00235FB1">
        <w:rPr>
          <w:rFonts w:ascii="Times New Roman" w:hAnsi="Times New Roman"/>
          <w:sz w:val="22"/>
          <w:szCs w:val="22"/>
          <w:lang w:val="ru-RU"/>
        </w:rPr>
        <w:t>,</w:t>
      </w:r>
      <w:r w:rsidR="00C45417">
        <w:rPr>
          <w:rFonts w:ascii="Times New Roman" w:hAnsi="Times New Roman"/>
          <w:sz w:val="22"/>
          <w:szCs w:val="22"/>
          <w:lang w:val="ru-RU"/>
        </w:rPr>
        <w:t xml:space="preserve"> рассчитанная применительно к видам централизова</w:t>
      </w:r>
      <w:r w:rsidR="00235FB1">
        <w:rPr>
          <w:rFonts w:ascii="Times New Roman" w:hAnsi="Times New Roman"/>
          <w:sz w:val="22"/>
          <w:szCs w:val="22"/>
          <w:lang w:val="ru-RU"/>
        </w:rPr>
        <w:t>нных систем</w:t>
      </w:r>
      <w:r w:rsidR="00C45417">
        <w:rPr>
          <w:rFonts w:ascii="Times New Roman" w:hAnsi="Times New Roman"/>
          <w:sz w:val="22"/>
          <w:szCs w:val="22"/>
          <w:lang w:val="ru-RU"/>
        </w:rPr>
        <w:t xml:space="preserve"> водоотведения </w:t>
      </w:r>
      <w:r w:rsidR="00124743">
        <w:rPr>
          <w:rFonts w:ascii="Times New Roman" w:hAnsi="Times New Roman"/>
          <w:sz w:val="22"/>
          <w:szCs w:val="22"/>
          <w:lang w:val="ru-RU"/>
        </w:rPr>
        <w:t xml:space="preserve"> раздельно </w:t>
      </w:r>
      <w:r w:rsidR="00C45417">
        <w:rPr>
          <w:rFonts w:ascii="Times New Roman" w:hAnsi="Times New Roman"/>
          <w:sz w:val="22"/>
          <w:szCs w:val="22"/>
          <w:lang w:val="ru-RU"/>
        </w:rPr>
        <w:t xml:space="preserve">для </w:t>
      </w:r>
      <w:r w:rsidR="00235FB1">
        <w:rPr>
          <w:rFonts w:ascii="Times New Roman" w:hAnsi="Times New Roman"/>
          <w:sz w:val="22"/>
          <w:szCs w:val="22"/>
          <w:lang w:val="ru-RU"/>
        </w:rPr>
        <w:t>централизованной общесплавной (бытовой)</w:t>
      </w:r>
      <w:r w:rsidR="00124743">
        <w:rPr>
          <w:rFonts w:ascii="Times New Roman" w:hAnsi="Times New Roman"/>
          <w:sz w:val="22"/>
          <w:szCs w:val="22"/>
          <w:lang w:val="ru-RU"/>
        </w:rPr>
        <w:t xml:space="preserve"> и централизованной ливневой</w:t>
      </w:r>
      <w:r w:rsidR="00235FB1">
        <w:rPr>
          <w:rFonts w:ascii="Times New Roman" w:hAnsi="Times New Roman"/>
          <w:sz w:val="22"/>
          <w:szCs w:val="22"/>
          <w:lang w:val="ru-RU"/>
        </w:rPr>
        <w:t xml:space="preserve"> систем водоотведения </w:t>
      </w:r>
      <w:r w:rsidRPr="00F92136">
        <w:rPr>
          <w:rFonts w:ascii="Times New Roman" w:hAnsi="Times New Roman"/>
          <w:sz w:val="22"/>
          <w:szCs w:val="22"/>
          <w:lang w:val="ru-RU"/>
        </w:rPr>
        <w:t xml:space="preserve"> –0%.</w:t>
      </w:r>
      <w:proofErr w:type="gramEnd"/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b/>
          <w:sz w:val="22"/>
          <w:szCs w:val="22"/>
          <w:lang w:val="ru-RU"/>
        </w:rPr>
      </w:pPr>
      <w:r w:rsidRPr="00F92136">
        <w:rPr>
          <w:rFonts w:ascii="Times New Roman" w:hAnsi="Times New Roman"/>
          <w:b/>
          <w:sz w:val="22"/>
          <w:szCs w:val="22"/>
          <w:lang w:val="ru-RU"/>
        </w:rPr>
        <w:t>5. Финансовые потребности на реализацию мероприятий.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lastRenderedPageBreak/>
        <w:t>В финансовые потребности на реализацию мероприятий необходимо включить весь комплекс расходов, связанных с проведением следующих мероприятий: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>- проектно-изыскательные работы;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>- приобретение материалов и оборудования;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>- строительно-монтажные работы;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>- работы по замене оборудования;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>- пусконаладочные работы;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b/>
          <w:sz w:val="22"/>
          <w:szCs w:val="22"/>
          <w:lang w:val="ru-RU"/>
        </w:rPr>
      </w:pPr>
      <w:r w:rsidRPr="00F92136">
        <w:rPr>
          <w:rFonts w:ascii="Times New Roman" w:hAnsi="Times New Roman"/>
          <w:b/>
          <w:sz w:val="22"/>
          <w:szCs w:val="22"/>
          <w:lang w:val="ru-RU"/>
        </w:rPr>
        <w:t>6. Финансовые источники.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>- собственные средства концессионера;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>- заемные ресурсы;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>- тариф.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b/>
          <w:sz w:val="22"/>
          <w:szCs w:val="22"/>
          <w:lang w:val="ru-RU"/>
        </w:rPr>
      </w:pPr>
      <w:r w:rsidRPr="00F92136">
        <w:rPr>
          <w:rFonts w:ascii="Times New Roman" w:hAnsi="Times New Roman"/>
          <w:b/>
          <w:sz w:val="22"/>
          <w:szCs w:val="22"/>
          <w:lang w:val="ru-RU"/>
        </w:rPr>
        <w:t>7. Перечень мероприятий по строительству, модернизации и реконструкции объектов концессионного соглашения с указанием плановых значений показателей надежности, качества и энергетической эффективности, которые должны быть достигнуты в результате реализации таких мероприятий.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 xml:space="preserve"> Модульные очистные сооружения </w:t>
      </w:r>
      <w:r w:rsidRPr="00F92136">
        <w:rPr>
          <w:rFonts w:ascii="Times New Roman" w:hAnsi="Times New Roman"/>
          <w:color w:val="000000"/>
          <w:sz w:val="22"/>
          <w:szCs w:val="22"/>
          <w:lang w:val="ru-RU"/>
        </w:rPr>
        <w:t>с биологической очисткой, расположенные по адресу: Ивановская область, г. Фурманов, ул. Радищева</w:t>
      </w:r>
    </w:p>
    <w:p w:rsidR="00F92136" w:rsidRPr="00F92136" w:rsidRDefault="00F92136" w:rsidP="00F16A66">
      <w:pPr>
        <w:pStyle w:val="ae"/>
        <w:spacing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7534" w:type="dxa"/>
        <w:tblInd w:w="1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324"/>
        <w:gridCol w:w="1844"/>
        <w:gridCol w:w="2835"/>
      </w:tblGrid>
      <w:tr w:rsidR="00F92136" w:rsidRPr="00F92136" w:rsidTr="00F16A66">
        <w:trPr>
          <w:trHeight w:val="20"/>
          <w:tblHeader/>
        </w:trPr>
        <w:tc>
          <w:tcPr>
            <w:tcW w:w="531" w:type="dxa"/>
            <w:shd w:val="clear" w:color="auto" w:fill="D9D9D9" w:themeFill="background1" w:themeFillShade="D9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136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92136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F92136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324" w:type="dxa"/>
            <w:shd w:val="clear" w:color="auto" w:fill="D9D9D9" w:themeFill="background1" w:themeFillShade="D9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136">
              <w:rPr>
                <w:rFonts w:ascii="Times New Roman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844" w:type="dxa"/>
            <w:shd w:val="clear" w:color="auto" w:fill="D9D9D9" w:themeFill="background1" w:themeFillShade="D9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136">
              <w:rPr>
                <w:rFonts w:ascii="Times New Roman" w:hAnsi="Times New Roman" w:cs="Times New Roman"/>
                <w:b/>
                <w:color w:val="000000"/>
              </w:rPr>
              <w:t>Период реализации мероприятия, годы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2136">
              <w:rPr>
                <w:rFonts w:ascii="Times New Roman" w:hAnsi="Times New Roman" w:cs="Times New Roman"/>
                <w:b/>
                <w:color w:val="000000"/>
              </w:rPr>
              <w:t>Стоимость мероприятия в текущих ценах, тыс. руб</w:t>
            </w:r>
            <w:proofErr w:type="gramStart"/>
            <w:r w:rsidRPr="00F92136">
              <w:rPr>
                <w:rFonts w:ascii="Times New Roman" w:hAnsi="Times New Roman" w:cs="Times New Roman"/>
                <w:b/>
                <w:color w:val="000000"/>
              </w:rPr>
              <w:t>.(</w:t>
            </w:r>
            <w:proofErr w:type="gramEnd"/>
            <w:r w:rsidRPr="00F92136">
              <w:rPr>
                <w:rFonts w:ascii="Times New Roman" w:hAnsi="Times New Roman" w:cs="Times New Roman"/>
                <w:b/>
                <w:color w:val="000000"/>
              </w:rPr>
              <w:t>без НДС)</w:t>
            </w:r>
          </w:p>
        </w:tc>
      </w:tr>
      <w:tr w:rsidR="00F92136" w:rsidRPr="00F92136" w:rsidTr="00F16A66">
        <w:trPr>
          <w:trHeight w:val="20"/>
        </w:trPr>
        <w:tc>
          <w:tcPr>
            <w:tcW w:w="531" w:type="dxa"/>
            <w:shd w:val="clear" w:color="auto" w:fill="auto"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1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:rsidR="00F92136" w:rsidRPr="00F92136" w:rsidRDefault="00F92136" w:rsidP="00F16A66">
            <w:pPr>
              <w:spacing w:after="0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Замена насосного оборудования</w:t>
            </w:r>
          </w:p>
        </w:tc>
        <w:tc>
          <w:tcPr>
            <w:tcW w:w="1844" w:type="dxa"/>
            <w:shd w:val="clear" w:color="auto" w:fill="auto"/>
          </w:tcPr>
          <w:p w:rsidR="00F92136" w:rsidRPr="00F92136" w:rsidRDefault="00962AB0" w:rsidP="00F1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835" w:type="dxa"/>
            <w:shd w:val="clear" w:color="auto" w:fill="auto"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136">
              <w:rPr>
                <w:rFonts w:ascii="Times New Roman" w:hAnsi="Times New Roman" w:cs="Times New Roman"/>
                <w:color w:val="000000"/>
              </w:rPr>
              <w:t>45 000</w:t>
            </w:r>
          </w:p>
        </w:tc>
      </w:tr>
      <w:tr w:rsidR="00F92136" w:rsidRPr="00F92136" w:rsidTr="00F16A66">
        <w:trPr>
          <w:trHeight w:val="20"/>
        </w:trPr>
        <w:tc>
          <w:tcPr>
            <w:tcW w:w="531" w:type="dxa"/>
            <w:shd w:val="clear" w:color="auto" w:fill="auto"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1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:rsidR="00F92136" w:rsidRPr="00F92136" w:rsidRDefault="00F92136" w:rsidP="00F16A66">
            <w:pPr>
              <w:spacing w:after="0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Замена аэрационных элементов</w:t>
            </w:r>
          </w:p>
        </w:tc>
        <w:tc>
          <w:tcPr>
            <w:tcW w:w="1844" w:type="dxa"/>
            <w:shd w:val="clear" w:color="auto" w:fill="auto"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68 000</w:t>
            </w:r>
          </w:p>
        </w:tc>
      </w:tr>
    </w:tbl>
    <w:p w:rsidR="002315FD" w:rsidRDefault="002315FD" w:rsidP="00F16A66">
      <w:pPr>
        <w:pStyle w:val="ae"/>
        <w:spacing w:line="276" w:lineRule="auto"/>
        <w:ind w:right="82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F92136" w:rsidRPr="00F16A66" w:rsidRDefault="00F92136" w:rsidP="00F16A66">
      <w:pPr>
        <w:pStyle w:val="ae"/>
        <w:spacing w:line="276" w:lineRule="auto"/>
        <w:ind w:right="82" w:firstLine="709"/>
        <w:rPr>
          <w:rFonts w:ascii="Times New Roman" w:hAnsi="Times New Roman"/>
          <w:b/>
          <w:sz w:val="22"/>
          <w:szCs w:val="22"/>
          <w:lang w:val="ru-RU"/>
        </w:rPr>
      </w:pPr>
      <w:r w:rsidRPr="00F92136">
        <w:rPr>
          <w:rFonts w:ascii="Times New Roman" w:hAnsi="Times New Roman"/>
          <w:b/>
          <w:sz w:val="22"/>
          <w:szCs w:val="22"/>
          <w:lang w:val="ru-RU"/>
        </w:rPr>
        <w:t>8. Планируемые показатели эффективности реализации проекта, изменение технико-экономических показателей</w:t>
      </w:r>
      <w:r w:rsidR="00F16A66">
        <w:rPr>
          <w:rFonts w:ascii="Times New Roman" w:hAnsi="Times New Roman"/>
          <w:b/>
          <w:sz w:val="22"/>
          <w:szCs w:val="22"/>
          <w:lang w:val="ru-RU"/>
        </w:rPr>
        <w:t xml:space="preserve"> объекта концессии.</w:t>
      </w:r>
    </w:p>
    <w:tbl>
      <w:tblPr>
        <w:tblStyle w:val="a8"/>
        <w:tblW w:w="0" w:type="auto"/>
        <w:tblInd w:w="1087" w:type="dxa"/>
        <w:tblLook w:val="04A0" w:firstRow="1" w:lastRow="0" w:firstColumn="1" w:lastColumn="0" w:noHBand="0" w:noVBand="1"/>
      </w:tblPr>
      <w:tblGrid>
        <w:gridCol w:w="3416"/>
        <w:gridCol w:w="1559"/>
        <w:gridCol w:w="1701"/>
        <w:gridCol w:w="1984"/>
        <w:gridCol w:w="1701"/>
        <w:gridCol w:w="1560"/>
        <w:gridCol w:w="1635"/>
      </w:tblGrid>
      <w:tr w:rsidR="00F92136" w:rsidRPr="00F92136" w:rsidTr="006C0481">
        <w:tc>
          <w:tcPr>
            <w:tcW w:w="3416" w:type="dxa"/>
          </w:tcPr>
          <w:p w:rsidR="00F92136" w:rsidRPr="00F92136" w:rsidRDefault="00F92136" w:rsidP="00F16A66">
            <w:pPr>
              <w:pStyle w:val="ae"/>
              <w:spacing w:line="276" w:lineRule="auto"/>
              <w:ind w:right="8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F92136" w:rsidRPr="00F92136" w:rsidRDefault="00124743" w:rsidP="00F16A66">
            <w:pPr>
              <w:pStyle w:val="ae"/>
              <w:spacing w:line="276" w:lineRule="auto"/>
              <w:ind w:right="8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701" w:type="dxa"/>
          </w:tcPr>
          <w:p w:rsidR="00F92136" w:rsidRPr="00F92136" w:rsidRDefault="00124743" w:rsidP="00F16A66">
            <w:pPr>
              <w:pStyle w:val="ae"/>
              <w:spacing w:line="276" w:lineRule="auto"/>
              <w:ind w:right="8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2019</w:t>
            </w:r>
          </w:p>
        </w:tc>
        <w:tc>
          <w:tcPr>
            <w:tcW w:w="1984" w:type="dxa"/>
          </w:tcPr>
          <w:p w:rsidR="00F92136" w:rsidRPr="00F92136" w:rsidRDefault="00124743" w:rsidP="00F16A66">
            <w:pPr>
              <w:pStyle w:val="ae"/>
              <w:spacing w:line="276" w:lineRule="auto"/>
              <w:ind w:right="8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2020</w:t>
            </w:r>
          </w:p>
        </w:tc>
        <w:tc>
          <w:tcPr>
            <w:tcW w:w="1701" w:type="dxa"/>
          </w:tcPr>
          <w:p w:rsidR="00F92136" w:rsidRPr="00F92136" w:rsidRDefault="00124743" w:rsidP="00F16A66">
            <w:pPr>
              <w:pStyle w:val="ae"/>
              <w:spacing w:line="276" w:lineRule="auto"/>
              <w:ind w:right="8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2021</w:t>
            </w:r>
          </w:p>
        </w:tc>
        <w:tc>
          <w:tcPr>
            <w:tcW w:w="1560" w:type="dxa"/>
          </w:tcPr>
          <w:p w:rsidR="00F92136" w:rsidRPr="00F92136" w:rsidRDefault="00124743" w:rsidP="00F16A66">
            <w:pPr>
              <w:pStyle w:val="ae"/>
              <w:spacing w:line="276" w:lineRule="auto"/>
              <w:ind w:right="8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2022</w:t>
            </w:r>
          </w:p>
        </w:tc>
        <w:tc>
          <w:tcPr>
            <w:tcW w:w="1635" w:type="dxa"/>
          </w:tcPr>
          <w:p w:rsidR="00F92136" w:rsidRPr="00F92136" w:rsidRDefault="00124743" w:rsidP="00F16A66">
            <w:pPr>
              <w:pStyle w:val="ae"/>
              <w:spacing w:line="276" w:lineRule="auto"/>
              <w:ind w:right="8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2023</w:t>
            </w:r>
          </w:p>
        </w:tc>
      </w:tr>
      <w:tr w:rsidR="00F92136" w:rsidRPr="00F92136" w:rsidTr="006C0481">
        <w:tc>
          <w:tcPr>
            <w:tcW w:w="3416" w:type="dxa"/>
          </w:tcPr>
          <w:p w:rsidR="00F92136" w:rsidRPr="006C0481" w:rsidRDefault="006C0481" w:rsidP="00F16A66">
            <w:pPr>
              <w:pStyle w:val="ae"/>
              <w:spacing w:line="276" w:lineRule="auto"/>
              <w:ind w:right="82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C048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Удельный расход электрической энергии, потребляемой в технологическом процессе очистки сточных вод, на единицу объема очищаемых </w:t>
            </w:r>
            <w:r w:rsidRPr="006C048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сточных вод</w:t>
            </w:r>
          </w:p>
        </w:tc>
        <w:tc>
          <w:tcPr>
            <w:tcW w:w="1559" w:type="dxa"/>
          </w:tcPr>
          <w:p w:rsidR="00F92136" w:rsidRPr="00F92136" w:rsidRDefault="00F92136" w:rsidP="00F16A66">
            <w:pPr>
              <w:pStyle w:val="ae"/>
              <w:spacing w:line="276" w:lineRule="auto"/>
              <w:ind w:right="8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9213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9,61</w:t>
            </w:r>
          </w:p>
        </w:tc>
        <w:tc>
          <w:tcPr>
            <w:tcW w:w="1701" w:type="dxa"/>
          </w:tcPr>
          <w:p w:rsidR="00F92136" w:rsidRPr="00F92136" w:rsidRDefault="00124743" w:rsidP="00F16A66">
            <w:pPr>
              <w:pStyle w:val="ae"/>
              <w:spacing w:line="276" w:lineRule="auto"/>
              <w:ind w:right="8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8,65</w:t>
            </w:r>
          </w:p>
        </w:tc>
        <w:tc>
          <w:tcPr>
            <w:tcW w:w="1984" w:type="dxa"/>
          </w:tcPr>
          <w:p w:rsidR="00F92136" w:rsidRPr="00F92136" w:rsidRDefault="00F92136" w:rsidP="00F16A66">
            <w:pPr>
              <w:pStyle w:val="ae"/>
              <w:spacing w:line="276" w:lineRule="auto"/>
              <w:ind w:right="8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92136">
              <w:rPr>
                <w:rFonts w:ascii="Times New Roman" w:hAnsi="Times New Roman"/>
                <w:sz w:val="22"/>
                <w:szCs w:val="22"/>
                <w:lang w:val="ru-RU"/>
              </w:rPr>
              <w:t>8,65</w:t>
            </w:r>
          </w:p>
        </w:tc>
        <w:tc>
          <w:tcPr>
            <w:tcW w:w="1701" w:type="dxa"/>
          </w:tcPr>
          <w:p w:rsidR="00F92136" w:rsidRPr="00F92136" w:rsidRDefault="00F92136" w:rsidP="00F16A66">
            <w:pPr>
              <w:pStyle w:val="ae"/>
              <w:spacing w:line="276" w:lineRule="auto"/>
              <w:ind w:right="8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92136">
              <w:rPr>
                <w:rFonts w:ascii="Times New Roman" w:hAnsi="Times New Roman"/>
                <w:sz w:val="22"/>
                <w:szCs w:val="22"/>
                <w:lang w:val="ru-RU"/>
              </w:rPr>
              <w:t>8,65</w:t>
            </w:r>
          </w:p>
        </w:tc>
        <w:tc>
          <w:tcPr>
            <w:tcW w:w="1560" w:type="dxa"/>
          </w:tcPr>
          <w:p w:rsidR="00F92136" w:rsidRPr="00F92136" w:rsidRDefault="00F92136" w:rsidP="00F16A66">
            <w:pPr>
              <w:pStyle w:val="ae"/>
              <w:spacing w:line="276" w:lineRule="auto"/>
              <w:ind w:right="8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92136">
              <w:rPr>
                <w:rFonts w:ascii="Times New Roman" w:hAnsi="Times New Roman"/>
                <w:sz w:val="22"/>
                <w:szCs w:val="22"/>
                <w:lang w:val="ru-RU"/>
              </w:rPr>
              <w:t>8,65</w:t>
            </w:r>
          </w:p>
        </w:tc>
        <w:tc>
          <w:tcPr>
            <w:tcW w:w="1635" w:type="dxa"/>
          </w:tcPr>
          <w:p w:rsidR="00F92136" w:rsidRPr="00F92136" w:rsidRDefault="00F92136" w:rsidP="00F16A66">
            <w:pPr>
              <w:pStyle w:val="ae"/>
              <w:spacing w:line="276" w:lineRule="auto"/>
              <w:ind w:right="8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92136">
              <w:rPr>
                <w:rFonts w:ascii="Times New Roman" w:hAnsi="Times New Roman"/>
                <w:sz w:val="22"/>
                <w:szCs w:val="22"/>
                <w:lang w:val="ru-RU"/>
              </w:rPr>
              <w:t>8,65</w:t>
            </w:r>
          </w:p>
        </w:tc>
      </w:tr>
      <w:tr w:rsidR="006C0481" w:rsidRPr="00F92136" w:rsidTr="006C0481">
        <w:tc>
          <w:tcPr>
            <w:tcW w:w="3416" w:type="dxa"/>
          </w:tcPr>
          <w:p w:rsidR="006C0481" w:rsidRPr="006C0481" w:rsidRDefault="006C0481" w:rsidP="00F16A66">
            <w:pPr>
              <w:pStyle w:val="ae"/>
              <w:spacing w:line="276" w:lineRule="auto"/>
              <w:ind w:right="82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C048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559" w:type="dxa"/>
          </w:tcPr>
          <w:p w:rsidR="006C0481" w:rsidRPr="00F92136" w:rsidRDefault="006C0481" w:rsidP="00F16A66">
            <w:pPr>
              <w:pStyle w:val="ae"/>
              <w:spacing w:line="276" w:lineRule="auto"/>
              <w:ind w:right="8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9,61</w:t>
            </w:r>
          </w:p>
        </w:tc>
        <w:tc>
          <w:tcPr>
            <w:tcW w:w="1701" w:type="dxa"/>
          </w:tcPr>
          <w:p w:rsidR="006C0481" w:rsidRPr="00F92136" w:rsidRDefault="006C0481" w:rsidP="00CA50AE">
            <w:pPr>
              <w:pStyle w:val="ae"/>
              <w:spacing w:line="276" w:lineRule="auto"/>
              <w:ind w:right="8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8,65</w:t>
            </w:r>
          </w:p>
        </w:tc>
        <w:tc>
          <w:tcPr>
            <w:tcW w:w="1984" w:type="dxa"/>
          </w:tcPr>
          <w:p w:rsidR="006C0481" w:rsidRPr="00F92136" w:rsidRDefault="006C0481" w:rsidP="00CA50AE">
            <w:pPr>
              <w:pStyle w:val="ae"/>
              <w:spacing w:line="276" w:lineRule="auto"/>
              <w:ind w:right="8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92136">
              <w:rPr>
                <w:rFonts w:ascii="Times New Roman" w:hAnsi="Times New Roman"/>
                <w:sz w:val="22"/>
                <w:szCs w:val="22"/>
                <w:lang w:val="ru-RU"/>
              </w:rPr>
              <w:t>8,65</w:t>
            </w:r>
          </w:p>
        </w:tc>
        <w:tc>
          <w:tcPr>
            <w:tcW w:w="1701" w:type="dxa"/>
          </w:tcPr>
          <w:p w:rsidR="006C0481" w:rsidRPr="00F92136" w:rsidRDefault="006C0481" w:rsidP="00CA50AE">
            <w:pPr>
              <w:pStyle w:val="ae"/>
              <w:spacing w:line="276" w:lineRule="auto"/>
              <w:ind w:right="8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92136">
              <w:rPr>
                <w:rFonts w:ascii="Times New Roman" w:hAnsi="Times New Roman"/>
                <w:sz w:val="22"/>
                <w:szCs w:val="22"/>
                <w:lang w:val="ru-RU"/>
              </w:rPr>
              <w:t>8,65</w:t>
            </w:r>
          </w:p>
        </w:tc>
        <w:tc>
          <w:tcPr>
            <w:tcW w:w="1560" w:type="dxa"/>
          </w:tcPr>
          <w:p w:rsidR="006C0481" w:rsidRPr="00F92136" w:rsidRDefault="006C0481" w:rsidP="00CA50AE">
            <w:pPr>
              <w:pStyle w:val="ae"/>
              <w:spacing w:line="276" w:lineRule="auto"/>
              <w:ind w:right="8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92136">
              <w:rPr>
                <w:rFonts w:ascii="Times New Roman" w:hAnsi="Times New Roman"/>
                <w:sz w:val="22"/>
                <w:szCs w:val="22"/>
                <w:lang w:val="ru-RU"/>
              </w:rPr>
              <w:t>8,65</w:t>
            </w:r>
          </w:p>
        </w:tc>
        <w:tc>
          <w:tcPr>
            <w:tcW w:w="1635" w:type="dxa"/>
          </w:tcPr>
          <w:p w:rsidR="006C0481" w:rsidRPr="00F92136" w:rsidRDefault="006C0481" w:rsidP="00CA50AE">
            <w:pPr>
              <w:pStyle w:val="ae"/>
              <w:spacing w:line="276" w:lineRule="auto"/>
              <w:ind w:right="8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92136">
              <w:rPr>
                <w:rFonts w:ascii="Times New Roman" w:hAnsi="Times New Roman"/>
                <w:sz w:val="22"/>
                <w:szCs w:val="22"/>
                <w:lang w:val="ru-RU"/>
              </w:rPr>
              <w:t>8,65</w:t>
            </w:r>
          </w:p>
        </w:tc>
      </w:tr>
    </w:tbl>
    <w:p w:rsidR="00F92136" w:rsidRPr="00F92136" w:rsidRDefault="00F92136" w:rsidP="00F16A66">
      <w:pPr>
        <w:pStyle w:val="ae"/>
        <w:spacing w:line="276" w:lineRule="auto"/>
        <w:ind w:right="82"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6C0481" w:rsidRDefault="00F92136" w:rsidP="00F16A66">
      <w:pPr>
        <w:pStyle w:val="ae"/>
        <w:spacing w:line="276" w:lineRule="auto"/>
        <w:ind w:right="82" w:firstLine="709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>В результате замены насосного оборудования</w:t>
      </w:r>
      <w:r w:rsidR="00CF019A">
        <w:rPr>
          <w:rFonts w:ascii="Times New Roman" w:hAnsi="Times New Roman"/>
          <w:sz w:val="22"/>
          <w:szCs w:val="22"/>
          <w:lang w:val="ru-RU"/>
        </w:rPr>
        <w:t xml:space="preserve"> на объекте водоотведения</w:t>
      </w:r>
      <w:r w:rsidRPr="00F92136">
        <w:rPr>
          <w:rFonts w:ascii="Times New Roman" w:hAnsi="Times New Roman"/>
          <w:sz w:val="22"/>
          <w:szCs w:val="22"/>
          <w:lang w:val="ru-RU"/>
        </w:rPr>
        <w:t xml:space="preserve"> снизить и довести </w:t>
      </w:r>
      <w:r w:rsidR="006C0481">
        <w:rPr>
          <w:rFonts w:ascii="Times New Roman" w:hAnsi="Times New Roman"/>
          <w:sz w:val="22"/>
          <w:szCs w:val="22"/>
          <w:lang w:val="ru-RU"/>
        </w:rPr>
        <w:t xml:space="preserve">до 8,65 </w:t>
      </w:r>
      <w:proofErr w:type="spellStart"/>
      <w:r w:rsidR="006C0481">
        <w:rPr>
          <w:rFonts w:ascii="Times New Roman" w:hAnsi="Times New Roman"/>
          <w:sz w:val="22"/>
          <w:szCs w:val="22"/>
          <w:lang w:val="ru-RU"/>
        </w:rPr>
        <w:t>кВтч</w:t>
      </w:r>
      <w:proofErr w:type="spellEnd"/>
      <w:r w:rsidR="006C0481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="006C0481">
        <w:rPr>
          <w:rFonts w:ascii="Times New Roman" w:hAnsi="Times New Roman"/>
          <w:sz w:val="22"/>
          <w:szCs w:val="22"/>
          <w:lang w:val="ru-RU"/>
        </w:rPr>
        <w:t>куб.м</w:t>
      </w:r>
      <w:proofErr w:type="spellEnd"/>
      <w:r w:rsidR="006C0481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2315FD">
        <w:rPr>
          <w:rFonts w:ascii="Times New Roman" w:hAnsi="Times New Roman"/>
          <w:sz w:val="22"/>
          <w:szCs w:val="22"/>
          <w:lang w:val="ru-RU"/>
        </w:rPr>
        <w:t xml:space="preserve">в 2019 году </w:t>
      </w:r>
      <w:r w:rsidR="006C0481">
        <w:rPr>
          <w:rFonts w:ascii="Times New Roman" w:hAnsi="Times New Roman"/>
          <w:sz w:val="22"/>
          <w:szCs w:val="22"/>
          <w:lang w:val="ru-RU"/>
        </w:rPr>
        <w:t>показатели:</w:t>
      </w:r>
    </w:p>
    <w:p w:rsidR="006C0481" w:rsidRDefault="00F92136" w:rsidP="002315FD">
      <w:pPr>
        <w:pStyle w:val="ae"/>
        <w:spacing w:line="276" w:lineRule="auto"/>
        <w:ind w:right="82"/>
        <w:rPr>
          <w:rFonts w:ascii="Times New Roman" w:hAnsi="Times New Roman"/>
          <w:sz w:val="22"/>
          <w:szCs w:val="22"/>
          <w:lang w:val="ru-RU"/>
        </w:rPr>
      </w:pPr>
      <w:r w:rsidRPr="00F9213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C0481">
        <w:rPr>
          <w:rFonts w:ascii="Times New Roman" w:hAnsi="Times New Roman"/>
          <w:sz w:val="22"/>
          <w:szCs w:val="22"/>
          <w:lang w:val="ru-RU"/>
        </w:rPr>
        <w:t>- удельного</w:t>
      </w:r>
      <w:r w:rsidR="006C0481" w:rsidRPr="006C0481">
        <w:rPr>
          <w:rFonts w:ascii="Times New Roman" w:hAnsi="Times New Roman"/>
          <w:sz w:val="22"/>
          <w:szCs w:val="22"/>
          <w:lang w:val="ru-RU"/>
        </w:rPr>
        <w:t xml:space="preserve"> расход</w:t>
      </w:r>
      <w:r w:rsidR="006C0481">
        <w:rPr>
          <w:rFonts w:ascii="Times New Roman" w:hAnsi="Times New Roman"/>
          <w:sz w:val="22"/>
          <w:szCs w:val="22"/>
          <w:lang w:val="ru-RU"/>
        </w:rPr>
        <w:t>а</w:t>
      </w:r>
      <w:r w:rsidR="006C0481" w:rsidRPr="006C0481">
        <w:rPr>
          <w:rFonts w:ascii="Times New Roman" w:hAnsi="Times New Roman"/>
          <w:sz w:val="22"/>
          <w:szCs w:val="22"/>
          <w:lang w:val="ru-RU"/>
        </w:rPr>
        <w:t xml:space="preserve"> электрической энергии, потребляемой в технологическом процессе очистки сточных вод, на единицу объема очищаемых сточных вод</w:t>
      </w:r>
      <w:r w:rsidR="006C0481">
        <w:rPr>
          <w:rFonts w:ascii="Times New Roman" w:hAnsi="Times New Roman"/>
          <w:sz w:val="22"/>
          <w:szCs w:val="22"/>
          <w:lang w:val="ru-RU"/>
        </w:rPr>
        <w:t>;</w:t>
      </w:r>
    </w:p>
    <w:p w:rsidR="00F92136" w:rsidRPr="00F92136" w:rsidRDefault="006C0481" w:rsidP="002315FD">
      <w:pPr>
        <w:pStyle w:val="ae"/>
        <w:spacing w:line="276" w:lineRule="auto"/>
        <w:ind w:right="82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2315FD">
        <w:rPr>
          <w:rFonts w:ascii="Times New Roman" w:hAnsi="Times New Roman"/>
          <w:sz w:val="22"/>
          <w:szCs w:val="22"/>
          <w:lang w:val="ru-RU"/>
        </w:rPr>
        <w:t>у</w:t>
      </w:r>
      <w:r>
        <w:rPr>
          <w:rFonts w:ascii="Times New Roman" w:hAnsi="Times New Roman"/>
          <w:sz w:val="22"/>
          <w:szCs w:val="22"/>
          <w:lang w:val="ru-RU"/>
        </w:rPr>
        <w:t>дельного</w:t>
      </w:r>
      <w:r w:rsidRPr="006C0481">
        <w:rPr>
          <w:rFonts w:ascii="Times New Roman" w:hAnsi="Times New Roman"/>
          <w:sz w:val="22"/>
          <w:szCs w:val="22"/>
          <w:lang w:val="ru-RU"/>
        </w:rPr>
        <w:t xml:space="preserve"> расход</w:t>
      </w:r>
      <w:r>
        <w:rPr>
          <w:rFonts w:ascii="Times New Roman" w:hAnsi="Times New Roman"/>
          <w:sz w:val="22"/>
          <w:szCs w:val="22"/>
          <w:lang w:val="ru-RU"/>
        </w:rPr>
        <w:t>а</w:t>
      </w:r>
      <w:r w:rsidRPr="006C0481">
        <w:rPr>
          <w:rFonts w:ascii="Times New Roman" w:hAnsi="Times New Roman"/>
          <w:sz w:val="22"/>
          <w:szCs w:val="22"/>
          <w:lang w:val="ru-RU"/>
        </w:rPr>
        <w:t xml:space="preserve"> электрической энергии, потребляемой в технологическом процессе транспортировки сточных вод, на единицу объема транспортируемых сточных вод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tbl>
      <w:tblPr>
        <w:tblW w:w="176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6"/>
        <w:gridCol w:w="4205"/>
        <w:gridCol w:w="1559"/>
        <w:gridCol w:w="1843"/>
        <w:gridCol w:w="1984"/>
        <w:gridCol w:w="1276"/>
        <w:gridCol w:w="1049"/>
        <w:gridCol w:w="1077"/>
        <w:gridCol w:w="1134"/>
        <w:gridCol w:w="2859"/>
      </w:tblGrid>
      <w:tr w:rsidR="00F92136" w:rsidRPr="00F92136" w:rsidTr="00D7185A">
        <w:trPr>
          <w:trHeight w:val="312"/>
        </w:trPr>
        <w:tc>
          <w:tcPr>
            <w:tcW w:w="17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tabs>
                <w:tab w:val="left" w:pos="1619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136">
              <w:rPr>
                <w:rFonts w:ascii="Times New Roman" w:hAnsi="Times New Roman" w:cs="Times New Roman"/>
                <w:b/>
                <w:bCs/>
              </w:rPr>
              <w:t>Долгосрочные параметры регулирования тарифов в сфере водоотведения (г. Фурманов, ул. Радищева, д. 27)</w:t>
            </w:r>
          </w:p>
        </w:tc>
      </w:tr>
      <w:tr w:rsidR="00F92136" w:rsidRPr="00F92136" w:rsidTr="00D7185A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92136">
              <w:rPr>
                <w:rFonts w:ascii="Times New Roman" w:hAnsi="Times New Roman" w:cs="Times New Roman"/>
              </w:rPr>
              <w:t>п.п</w:t>
            </w:r>
            <w:proofErr w:type="spellEnd"/>
            <w:r w:rsidRPr="00F921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136">
              <w:rPr>
                <w:rFonts w:ascii="Times New Roman" w:hAnsi="Times New Roman" w:cs="Times New Roman"/>
              </w:rPr>
              <w:t>Наимонование</w:t>
            </w:r>
            <w:proofErr w:type="spellEnd"/>
            <w:r w:rsidRPr="00F92136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Период регулирования</w:t>
            </w:r>
          </w:p>
        </w:tc>
      </w:tr>
      <w:tr w:rsidR="00F92136" w:rsidRPr="00F92136" w:rsidTr="00D7185A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36" w:rsidRPr="00F92136" w:rsidRDefault="00F92136" w:rsidP="00F16A6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36" w:rsidRPr="00F92136" w:rsidRDefault="00F92136" w:rsidP="00F16A6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36" w:rsidRPr="00F92136" w:rsidRDefault="00F92136" w:rsidP="00F16A6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92136">
              <w:rPr>
                <w:rFonts w:ascii="Times New Roman" w:hAnsi="Times New Roman" w:cs="Times New Roman"/>
              </w:rPr>
              <w:t>Продолжи-</w:t>
            </w:r>
            <w:proofErr w:type="spellStart"/>
            <w:r w:rsidRPr="00F92136">
              <w:rPr>
                <w:rFonts w:ascii="Times New Roman" w:hAnsi="Times New Roman" w:cs="Times New Roman"/>
              </w:rPr>
              <w:t>тельность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1247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201</w:t>
            </w:r>
            <w:r w:rsidR="00124743">
              <w:rPr>
                <w:rFonts w:ascii="Times New Roman" w:hAnsi="Times New Roman" w:cs="Times New Roman"/>
              </w:rPr>
              <w:t>8</w:t>
            </w:r>
            <w:r w:rsidRPr="00F9213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1247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201</w:t>
            </w:r>
            <w:r w:rsidR="00124743">
              <w:rPr>
                <w:rFonts w:ascii="Times New Roman" w:hAnsi="Times New Roman" w:cs="Times New Roman"/>
              </w:rPr>
              <w:t>9</w:t>
            </w:r>
            <w:r w:rsidRPr="00F9213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124743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F92136" w:rsidRPr="00F9213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124743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F92136" w:rsidRPr="00F9213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124743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F92136" w:rsidRPr="00F9213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124743" w:rsidP="00F16A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F92136" w:rsidRPr="00F9213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92136" w:rsidRPr="00F92136" w:rsidTr="00D7185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13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92136">
              <w:rPr>
                <w:rFonts w:ascii="Times New Roman" w:hAnsi="Times New Roman" w:cs="Times New Roman"/>
                <w:b/>
                <w:bCs/>
              </w:rPr>
              <w:t>Долгосрочные параметры государственного регулирования цен (тарифов) в сфере водоотведения, не являющимися критериями конкурса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13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13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13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13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13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13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13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13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92136" w:rsidRPr="00F92136" w:rsidTr="00D7185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Индекс эффективности операционных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1%</w:t>
            </w:r>
          </w:p>
        </w:tc>
      </w:tr>
      <w:tr w:rsidR="00F92136" w:rsidRPr="00F92136" w:rsidTr="00D7185A">
        <w:trPr>
          <w:trHeight w:val="2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Базовый уровень операционных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C45417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C45417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C45417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C45417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C45417" w:rsidP="00F16A66">
            <w:pPr>
              <w:tabs>
                <w:tab w:val="left" w:pos="102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136" w:rsidRPr="00F92136" w:rsidTr="00D7185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Показатели энергосбережения  и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36" w:rsidRPr="00F92136" w:rsidRDefault="00F92136" w:rsidP="00F16A66">
            <w:pPr>
              <w:spacing w:after="0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 </w:t>
            </w:r>
          </w:p>
        </w:tc>
      </w:tr>
      <w:tr w:rsidR="00F92136" w:rsidRPr="00F92136" w:rsidTr="00D7185A">
        <w:trPr>
          <w:trHeight w:val="8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136">
              <w:rPr>
                <w:rFonts w:ascii="Times New Roman" w:hAnsi="Times New Roman" w:cs="Times New Roman"/>
              </w:rPr>
              <w:t>кВтч</w:t>
            </w:r>
            <w:proofErr w:type="spellEnd"/>
            <w:r w:rsidRPr="00F92136">
              <w:rPr>
                <w:rFonts w:ascii="Times New Roman" w:hAnsi="Times New Roman" w:cs="Times New Roman"/>
              </w:rPr>
              <w:t>/</w:t>
            </w:r>
            <w:proofErr w:type="spellStart"/>
            <w:r w:rsidRPr="00F92136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921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9,61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9,61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9,61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9,61</w:t>
            </w:r>
          </w:p>
        </w:tc>
      </w:tr>
      <w:tr w:rsidR="00F92136" w:rsidRPr="00F92136" w:rsidTr="00D7185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lastRenderedPageBreak/>
              <w:t>1.3.2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136">
              <w:rPr>
                <w:rFonts w:ascii="Times New Roman" w:hAnsi="Times New Roman" w:cs="Times New Roman"/>
              </w:rPr>
              <w:t>кВтч</w:t>
            </w:r>
            <w:proofErr w:type="spellEnd"/>
            <w:r w:rsidRPr="00F92136">
              <w:rPr>
                <w:rFonts w:ascii="Times New Roman" w:hAnsi="Times New Roman" w:cs="Times New Roman"/>
              </w:rPr>
              <w:t>/</w:t>
            </w:r>
            <w:proofErr w:type="spellStart"/>
            <w:r w:rsidRPr="00F92136">
              <w:rPr>
                <w:rFonts w:ascii="Times New Roman" w:hAnsi="Times New Roman" w:cs="Times New Roman"/>
              </w:rPr>
              <w:t>куб.м</w:t>
            </w:r>
            <w:proofErr w:type="spellEnd"/>
            <w:r w:rsidRPr="00F921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9,61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9,61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9,61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9,61</w:t>
            </w:r>
          </w:p>
        </w:tc>
      </w:tr>
      <w:tr w:rsidR="00F92136" w:rsidRPr="00F92136" w:rsidTr="00D7185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Нормативный уровень прибыли (при выборе метода индексации установленных тарифов)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36" w:rsidRPr="00F92136" w:rsidRDefault="00F92136" w:rsidP="00F16A66">
            <w:pPr>
              <w:spacing w:after="0"/>
              <w:rPr>
                <w:rFonts w:ascii="Times New Roman" w:hAnsi="Times New Roman" w:cs="Times New Roman"/>
              </w:rPr>
            </w:pPr>
            <w:r w:rsidRPr="00F92136">
              <w:rPr>
                <w:rFonts w:ascii="Times New Roman" w:hAnsi="Times New Roman" w:cs="Times New Roman"/>
              </w:rPr>
              <w:t>1,37</w:t>
            </w:r>
          </w:p>
        </w:tc>
      </w:tr>
    </w:tbl>
    <w:p w:rsidR="00F92136" w:rsidRPr="00F92136" w:rsidRDefault="00F92136" w:rsidP="00F16A66">
      <w:pPr>
        <w:spacing w:after="0"/>
        <w:jc w:val="right"/>
        <w:rPr>
          <w:rFonts w:ascii="Times New Roman" w:eastAsia="Calibri" w:hAnsi="Times New Roman" w:cs="Times New Roman"/>
        </w:rPr>
      </w:pPr>
    </w:p>
    <w:p w:rsidR="00F92136" w:rsidRPr="00F92136" w:rsidRDefault="00F92136" w:rsidP="00F16A66">
      <w:pPr>
        <w:spacing w:after="0"/>
        <w:jc w:val="right"/>
        <w:rPr>
          <w:rFonts w:ascii="Times New Roman" w:eastAsia="Calibri" w:hAnsi="Times New Roman" w:cs="Times New Roman"/>
        </w:rPr>
        <w:sectPr w:rsidR="00F92136" w:rsidRPr="00F92136" w:rsidSect="00BC2AD6">
          <w:headerReference w:type="default" r:id="rId13"/>
          <w:footerReference w:type="even" r:id="rId14"/>
          <w:pgSz w:w="16838" w:h="11906" w:orient="landscape"/>
          <w:pgMar w:top="992" w:right="1021" w:bottom="1135" w:left="567" w:header="709" w:footer="709" w:gutter="0"/>
          <w:cols w:space="708"/>
          <w:titlePg/>
          <w:docGrid w:linePitch="360"/>
        </w:sectPr>
      </w:pPr>
    </w:p>
    <w:p w:rsidR="00CD7750" w:rsidRPr="00CD7750" w:rsidRDefault="00CD7750" w:rsidP="00CD7750">
      <w:pPr>
        <w:spacing w:after="0"/>
        <w:jc w:val="right"/>
        <w:rPr>
          <w:rFonts w:ascii="Times New Roman" w:eastAsia="Calibri" w:hAnsi="Times New Roman" w:cs="Times New Roman"/>
          <w:szCs w:val="28"/>
        </w:rPr>
      </w:pPr>
      <w:r w:rsidRPr="00CD7750">
        <w:rPr>
          <w:rFonts w:ascii="Times New Roman" w:eastAsia="Calibri" w:hAnsi="Times New Roman" w:cs="Times New Roman"/>
          <w:szCs w:val="28"/>
        </w:rPr>
        <w:lastRenderedPageBreak/>
        <w:t>Приложение № 4</w:t>
      </w:r>
    </w:p>
    <w:p w:rsidR="00CD7750" w:rsidRPr="00CD7750" w:rsidRDefault="00CD7750" w:rsidP="00CD7750">
      <w:pPr>
        <w:spacing w:after="0"/>
        <w:jc w:val="right"/>
        <w:rPr>
          <w:rFonts w:ascii="Times New Roman" w:eastAsia="Calibri" w:hAnsi="Times New Roman" w:cs="Times New Roman"/>
          <w:szCs w:val="28"/>
        </w:rPr>
      </w:pPr>
      <w:r w:rsidRPr="00CD7750">
        <w:rPr>
          <w:rFonts w:ascii="Times New Roman" w:eastAsia="Calibri" w:hAnsi="Times New Roman" w:cs="Times New Roman"/>
          <w:szCs w:val="28"/>
        </w:rPr>
        <w:t>к Соглашению</w:t>
      </w:r>
    </w:p>
    <w:p w:rsidR="00CD7750" w:rsidRPr="00CD7750" w:rsidRDefault="00CD7750" w:rsidP="00CD7750">
      <w:pPr>
        <w:tabs>
          <w:tab w:val="left" w:pos="8670"/>
        </w:tabs>
        <w:spacing w:after="0"/>
        <w:ind w:firstLine="567"/>
        <w:rPr>
          <w:rFonts w:ascii="Times New Roman" w:eastAsia="Calibri" w:hAnsi="Times New Roman" w:cs="Times New Roman"/>
          <w:szCs w:val="28"/>
        </w:rPr>
      </w:pPr>
      <w:r w:rsidRPr="00CD7750">
        <w:rPr>
          <w:rFonts w:ascii="Times New Roman" w:eastAsia="Calibri" w:hAnsi="Times New Roman" w:cs="Times New Roman"/>
          <w:szCs w:val="28"/>
        </w:rPr>
        <w:tab/>
      </w:r>
    </w:p>
    <w:p w:rsidR="00CD7750" w:rsidRPr="00CD7750" w:rsidRDefault="00CD7750" w:rsidP="00CD7750">
      <w:pPr>
        <w:spacing w:after="0"/>
        <w:jc w:val="center"/>
        <w:rPr>
          <w:rFonts w:ascii="Times New Roman" w:eastAsia="Calibri" w:hAnsi="Times New Roman" w:cs="Times New Roman"/>
          <w:b/>
          <w:szCs w:val="28"/>
        </w:rPr>
      </w:pPr>
      <w:r w:rsidRPr="00CD7750">
        <w:rPr>
          <w:rFonts w:ascii="Times New Roman" w:eastAsia="Calibri" w:hAnsi="Times New Roman" w:cs="Times New Roman"/>
          <w:b/>
          <w:szCs w:val="28"/>
        </w:rPr>
        <w:t>Описание земельного участка, указанного в пункте 28 настоящего Соглашения</w:t>
      </w:r>
    </w:p>
    <w:p w:rsidR="00CD7750" w:rsidRDefault="00CD7750" w:rsidP="00CD7750">
      <w:pPr>
        <w:spacing w:after="0"/>
        <w:ind w:firstLine="567"/>
        <w:jc w:val="center"/>
        <w:rPr>
          <w:rFonts w:eastAsia="Calibri"/>
          <w:szCs w:val="28"/>
          <w:highlight w:val="yellow"/>
        </w:rPr>
      </w:pPr>
    </w:p>
    <w:tbl>
      <w:tblPr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76"/>
        <w:gridCol w:w="1707"/>
        <w:gridCol w:w="1412"/>
        <w:gridCol w:w="1412"/>
        <w:gridCol w:w="1532"/>
        <w:gridCol w:w="1559"/>
        <w:gridCol w:w="2477"/>
        <w:gridCol w:w="2127"/>
      </w:tblGrid>
      <w:tr w:rsidR="00CD7750" w:rsidRPr="007445EE" w:rsidTr="00F44847">
        <w:trPr>
          <w:trHeight w:val="20"/>
          <w:tblHeader/>
        </w:trPr>
        <w:tc>
          <w:tcPr>
            <w:tcW w:w="816" w:type="dxa"/>
            <w:shd w:val="clear" w:color="auto" w:fill="D9D9D9" w:themeFill="background1" w:themeFillShade="D9"/>
            <w:vAlign w:val="center"/>
            <w:hideMark/>
          </w:tcPr>
          <w:p w:rsidR="00CD7750" w:rsidRPr="00F16A66" w:rsidRDefault="00CD7750" w:rsidP="00F4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A6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gramStart"/>
            <w:r w:rsidRPr="00F16A6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16A6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  <w:hideMark/>
          </w:tcPr>
          <w:p w:rsidR="00CD7750" w:rsidRPr="00F16A66" w:rsidRDefault="00CD7750" w:rsidP="00F4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A6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  <w:hideMark/>
          </w:tcPr>
          <w:p w:rsidR="00CD7750" w:rsidRPr="00F16A66" w:rsidRDefault="00CD7750" w:rsidP="00F4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A66">
              <w:rPr>
                <w:rFonts w:ascii="Times New Roman" w:hAnsi="Times New Roman" w:cs="Times New Roman"/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CD7750" w:rsidRPr="00F16A66" w:rsidRDefault="00CD7750" w:rsidP="00F4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A6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Площадь, кв. м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  <w:hideMark/>
          </w:tcPr>
          <w:p w:rsidR="00CD7750" w:rsidRPr="00F16A66" w:rsidRDefault="00CD7750" w:rsidP="00F4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A66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:rsidR="00CD7750" w:rsidRPr="00F16A66" w:rsidRDefault="00CD7750" w:rsidP="00F4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A66">
              <w:rPr>
                <w:rFonts w:ascii="Times New Roman" w:hAnsi="Times New Roman" w:cs="Times New Roman"/>
                <w:b/>
                <w:sz w:val="18"/>
                <w:szCs w:val="18"/>
              </w:rPr>
              <w:t>Вид разрешённого использования (по документам)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CD7750" w:rsidRPr="00F16A66" w:rsidRDefault="00CD7750" w:rsidP="00F4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A6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Кадастровая стоимость, тыс. руб.</w:t>
            </w:r>
          </w:p>
        </w:tc>
        <w:tc>
          <w:tcPr>
            <w:tcW w:w="2477" w:type="dxa"/>
            <w:shd w:val="clear" w:color="auto" w:fill="D9D9D9" w:themeFill="background1" w:themeFillShade="D9"/>
            <w:vAlign w:val="center"/>
            <w:hideMark/>
          </w:tcPr>
          <w:p w:rsidR="00CD7750" w:rsidRPr="00F16A66" w:rsidRDefault="00CD7750" w:rsidP="00F4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A66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Собственность/аренда (указать)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:rsidR="00CD7750" w:rsidRPr="00F16A66" w:rsidRDefault="00CD7750" w:rsidP="00F44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аренды (для </w:t>
            </w:r>
            <w:proofErr w:type="spellStart"/>
            <w:r w:rsidRPr="00F16A66">
              <w:rPr>
                <w:rFonts w:ascii="Times New Roman" w:hAnsi="Times New Roman" w:cs="Times New Roman"/>
                <w:b/>
                <w:sz w:val="18"/>
                <w:szCs w:val="18"/>
              </w:rPr>
              <w:t>аренд</w:t>
            </w:r>
            <w:proofErr w:type="gramStart"/>
            <w:r w:rsidRPr="00F16A66">
              <w:rPr>
                <w:rFonts w:ascii="Times New Roman" w:hAnsi="Times New Roman" w:cs="Times New Roman"/>
                <w:b/>
                <w:sz w:val="18"/>
                <w:szCs w:val="18"/>
              </w:rPr>
              <w:t>.у</w:t>
            </w:r>
            <w:proofErr w:type="gramEnd"/>
            <w:r w:rsidRPr="00F16A66">
              <w:rPr>
                <w:rFonts w:ascii="Times New Roman" w:hAnsi="Times New Roman" w:cs="Times New Roman"/>
                <w:b/>
                <w:sz w:val="18"/>
                <w:szCs w:val="18"/>
              </w:rPr>
              <w:t>частков</w:t>
            </w:r>
            <w:proofErr w:type="spellEnd"/>
            <w:r w:rsidRPr="00F16A66">
              <w:rPr>
                <w:rFonts w:ascii="Times New Roman" w:hAnsi="Times New Roman" w:cs="Times New Roman"/>
                <w:b/>
                <w:sz w:val="18"/>
                <w:szCs w:val="18"/>
              </w:rPr>
              <w:t>), руб./год</w:t>
            </w:r>
          </w:p>
        </w:tc>
      </w:tr>
      <w:tr w:rsidR="00CD7750" w:rsidRPr="007445EE" w:rsidTr="00F44847">
        <w:trPr>
          <w:trHeight w:val="20"/>
        </w:trPr>
        <w:tc>
          <w:tcPr>
            <w:tcW w:w="816" w:type="dxa"/>
            <w:shd w:val="clear" w:color="000000" w:fill="FFFFFF"/>
            <w:noWrap/>
          </w:tcPr>
          <w:p w:rsidR="00CD7750" w:rsidRPr="00F16A66" w:rsidRDefault="00CD7750" w:rsidP="00F44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A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6" w:type="dxa"/>
            <w:shd w:val="clear" w:color="000000" w:fill="FFFFFF"/>
            <w:vAlign w:val="center"/>
          </w:tcPr>
          <w:p w:rsidR="00CD7750" w:rsidRPr="00F16A66" w:rsidRDefault="00CD7750" w:rsidP="00F44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A66">
              <w:rPr>
                <w:rFonts w:ascii="Times New Roman" w:hAnsi="Times New Roman" w:cs="Times New Roman"/>
                <w:sz w:val="18"/>
                <w:szCs w:val="18"/>
              </w:rPr>
              <w:t>37:27:000000:184</w:t>
            </w:r>
          </w:p>
        </w:tc>
        <w:tc>
          <w:tcPr>
            <w:tcW w:w="1707" w:type="dxa"/>
            <w:shd w:val="clear" w:color="000000" w:fill="FFFFFF"/>
          </w:tcPr>
          <w:p w:rsidR="00CD7750" w:rsidRPr="00F16A66" w:rsidRDefault="00CD7750" w:rsidP="00F44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A66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г. Фурманов, ул. Радищева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CD7750" w:rsidRPr="00F16A66" w:rsidRDefault="00CD7750" w:rsidP="00F44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A6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2" w:type="dxa"/>
            <w:shd w:val="clear" w:color="000000" w:fill="FFFFFF"/>
          </w:tcPr>
          <w:p w:rsidR="00CD7750" w:rsidRPr="00F16A66" w:rsidRDefault="00CD7750" w:rsidP="00F44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A66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532" w:type="dxa"/>
            <w:shd w:val="clear" w:color="000000" w:fill="FFFFFF"/>
          </w:tcPr>
          <w:p w:rsidR="00CD7750" w:rsidRPr="00F16A66" w:rsidRDefault="00CD7750" w:rsidP="00F44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A66">
              <w:rPr>
                <w:rFonts w:ascii="Times New Roman" w:hAnsi="Times New Roman" w:cs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D7750" w:rsidRPr="00F16A66" w:rsidRDefault="00CD7750" w:rsidP="00F44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A66">
              <w:rPr>
                <w:rFonts w:ascii="Times New Roman" w:hAnsi="Times New Roman" w:cs="Times New Roman"/>
                <w:sz w:val="18"/>
                <w:szCs w:val="18"/>
              </w:rPr>
              <w:t>14 920,20</w:t>
            </w:r>
          </w:p>
        </w:tc>
        <w:tc>
          <w:tcPr>
            <w:tcW w:w="2477" w:type="dxa"/>
            <w:shd w:val="clear" w:color="000000" w:fill="FFFFFF"/>
            <w:vAlign w:val="center"/>
          </w:tcPr>
          <w:p w:rsidR="00CD7750" w:rsidRPr="00F16A66" w:rsidRDefault="00CD7750" w:rsidP="00F44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A66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CD7750" w:rsidRPr="00F16A66" w:rsidRDefault="00CD7750" w:rsidP="00F44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A66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</w:tr>
    </w:tbl>
    <w:p w:rsidR="00CD7750" w:rsidRDefault="00CD7750" w:rsidP="00CD7750">
      <w:pPr>
        <w:ind w:left="-426"/>
        <w:jc w:val="center"/>
        <w:rPr>
          <w:rFonts w:eastAsia="Calibri"/>
          <w:b/>
          <w:szCs w:val="28"/>
        </w:rPr>
      </w:pPr>
    </w:p>
    <w:p w:rsidR="00CD7750" w:rsidRDefault="00CD7750" w:rsidP="00CD7750">
      <w:pPr>
        <w:ind w:left="851" w:hanging="851"/>
        <w:jc w:val="center"/>
        <w:rPr>
          <w:rFonts w:eastAsia="Calibri"/>
          <w:b/>
          <w:szCs w:val="28"/>
        </w:rPr>
      </w:pPr>
    </w:p>
    <w:p w:rsidR="00CD7750" w:rsidRDefault="00CD7750" w:rsidP="00CD7750">
      <w:pPr>
        <w:jc w:val="center"/>
        <w:rPr>
          <w:rFonts w:eastAsia="Calibri"/>
          <w:b/>
          <w:szCs w:val="28"/>
        </w:rPr>
      </w:pPr>
    </w:p>
    <w:p w:rsidR="00CD7750" w:rsidRDefault="00CD7750" w:rsidP="00CD7750">
      <w:pPr>
        <w:jc w:val="center"/>
        <w:rPr>
          <w:rFonts w:eastAsia="Calibri"/>
          <w:b/>
          <w:szCs w:val="28"/>
        </w:rPr>
      </w:pPr>
    </w:p>
    <w:p w:rsidR="00CD7750" w:rsidRDefault="00CD7750" w:rsidP="00CD7750">
      <w:pPr>
        <w:jc w:val="center"/>
        <w:rPr>
          <w:rFonts w:eastAsia="Calibri"/>
          <w:b/>
          <w:szCs w:val="28"/>
        </w:rPr>
      </w:pPr>
    </w:p>
    <w:p w:rsidR="00CD7750" w:rsidRDefault="00CD7750" w:rsidP="00CD7750">
      <w:pPr>
        <w:jc w:val="center"/>
        <w:rPr>
          <w:rFonts w:eastAsia="Calibri"/>
          <w:b/>
          <w:szCs w:val="28"/>
        </w:rPr>
      </w:pPr>
    </w:p>
    <w:p w:rsidR="00CD7750" w:rsidRDefault="00CD7750" w:rsidP="00CD7750">
      <w:pPr>
        <w:jc w:val="center"/>
        <w:rPr>
          <w:rFonts w:eastAsia="Calibri"/>
          <w:b/>
          <w:szCs w:val="28"/>
        </w:rPr>
      </w:pPr>
    </w:p>
    <w:p w:rsidR="00CD7750" w:rsidRDefault="00CD7750" w:rsidP="00CD7750">
      <w:pPr>
        <w:jc w:val="center"/>
        <w:rPr>
          <w:rFonts w:eastAsia="Calibri"/>
          <w:b/>
          <w:szCs w:val="28"/>
        </w:rPr>
      </w:pPr>
    </w:p>
    <w:p w:rsidR="00CD7750" w:rsidRDefault="00CD7750" w:rsidP="00CD7750">
      <w:pPr>
        <w:rPr>
          <w:rFonts w:eastAsia="Calibri"/>
          <w:b/>
          <w:szCs w:val="28"/>
        </w:rPr>
      </w:pPr>
    </w:p>
    <w:p w:rsidR="00CD7750" w:rsidRDefault="00CD7750" w:rsidP="00CD7750">
      <w:pPr>
        <w:rPr>
          <w:rFonts w:eastAsia="Calibri"/>
          <w:b/>
          <w:szCs w:val="28"/>
        </w:rPr>
      </w:pPr>
    </w:p>
    <w:p w:rsidR="00CD7750" w:rsidRDefault="00CD7750" w:rsidP="00CD7750">
      <w:pPr>
        <w:tabs>
          <w:tab w:val="center" w:pos="7199"/>
          <w:tab w:val="right" w:pos="14399"/>
        </w:tabs>
        <w:spacing w:after="0" w:line="240" w:lineRule="auto"/>
        <w:jc w:val="right"/>
        <w:rPr>
          <w:rFonts w:eastAsia="Calibri"/>
          <w:szCs w:val="28"/>
        </w:rPr>
      </w:pPr>
      <w:r>
        <w:rPr>
          <w:rFonts w:eastAsia="Calibri"/>
          <w:b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Cs w:val="28"/>
        </w:rPr>
        <w:t>Приложение № 5</w:t>
      </w:r>
    </w:p>
    <w:p w:rsidR="00CD7750" w:rsidRPr="007351B6" w:rsidRDefault="00CD7750" w:rsidP="00CD7750">
      <w:pPr>
        <w:spacing w:after="0" w:line="240" w:lineRule="auto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к Соглашению</w:t>
      </w:r>
    </w:p>
    <w:p w:rsidR="00CD7750" w:rsidRDefault="00CD7750" w:rsidP="00CD7750">
      <w:pPr>
        <w:spacing w:after="0" w:line="240" w:lineRule="auto"/>
        <w:jc w:val="center"/>
        <w:rPr>
          <w:rFonts w:eastAsia="Calibri"/>
          <w:b/>
          <w:szCs w:val="28"/>
          <w:shd w:val="clear" w:color="auto" w:fill="FFFFFF" w:themeFill="background1"/>
        </w:rPr>
      </w:pPr>
      <w:r w:rsidRPr="004E2B18">
        <w:rPr>
          <w:rFonts w:eastAsia="Calibri"/>
          <w:b/>
          <w:szCs w:val="28"/>
        </w:rPr>
        <w:t>Копии документов, удостоверяющих право собственности (владения)</w:t>
      </w:r>
      <w:r>
        <w:rPr>
          <w:rFonts w:eastAsia="Calibri"/>
          <w:b/>
          <w:szCs w:val="28"/>
        </w:rPr>
        <w:t xml:space="preserve"> </w:t>
      </w:r>
      <w:proofErr w:type="spellStart"/>
      <w:r w:rsidRPr="00FB74CE">
        <w:rPr>
          <w:rFonts w:eastAsia="Calibri"/>
          <w:b/>
          <w:szCs w:val="28"/>
          <w:shd w:val="clear" w:color="auto" w:fill="FFFFFF" w:themeFill="background1"/>
        </w:rPr>
        <w:t>Концедента</w:t>
      </w:r>
      <w:proofErr w:type="spellEnd"/>
      <w:r w:rsidRPr="00FB74CE">
        <w:rPr>
          <w:rFonts w:eastAsia="Calibri"/>
          <w:b/>
          <w:szCs w:val="28"/>
          <w:shd w:val="clear" w:color="auto" w:fill="FFFFFF" w:themeFill="background1"/>
        </w:rPr>
        <w:t xml:space="preserve"> в отношении земельного участка</w:t>
      </w:r>
    </w:p>
    <w:p w:rsidR="00CD7750" w:rsidRDefault="00CD7750" w:rsidP="00CD7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775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D2DF7F5" wp14:editId="678E5AE7">
            <wp:extent cx="9140975" cy="4545106"/>
            <wp:effectExtent l="19050" t="0" r="3025" b="0"/>
            <wp:docPr id="3" name="Рисунок 3" descr="C:\Documents and Settings\Valentina\Рабочий стол\со сканера\выписка земля очистные Радищ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alentina\Рабочий стол\со сканера\выписка земля очистные Радищева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65" cy="454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750" w:rsidRDefault="00CD7750" w:rsidP="00CD7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7750" w:rsidRDefault="00CD7750" w:rsidP="00CD7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7750" w:rsidRDefault="00CD7750" w:rsidP="00CD7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7750" w:rsidRDefault="00CD7750" w:rsidP="00CD7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7750" w:rsidRDefault="00CD7750" w:rsidP="00CD7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7750" w:rsidRDefault="00CD7750" w:rsidP="00CD7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7750" w:rsidRPr="00CD7750" w:rsidRDefault="00CD7750" w:rsidP="00CD7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7750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5B423525" wp14:editId="15FDB57E">
            <wp:extent cx="9141619" cy="4838700"/>
            <wp:effectExtent l="19050" t="0" r="2381" b="0"/>
            <wp:docPr id="5" name="Рисунок 4" descr="C:\Documents and Settings\Valentina\Рабочий стол\со сканера\выписка земля очистные Радище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alentina\Рабочий стол\со сканера\выписка земля очистные Радищева 00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65" cy="483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750" w:rsidRPr="00CD7750" w:rsidSect="00CD7750">
      <w:headerReference w:type="default" r:id="rId17"/>
      <w:footerReference w:type="even" r:id="rId1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88" w:rsidRDefault="004C0088">
      <w:pPr>
        <w:spacing w:after="0" w:line="240" w:lineRule="auto"/>
      </w:pPr>
      <w:r>
        <w:separator/>
      </w:r>
    </w:p>
  </w:endnote>
  <w:endnote w:type="continuationSeparator" w:id="0">
    <w:p w:rsidR="004C0088" w:rsidRDefault="004C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36" w:rsidRDefault="00F92136" w:rsidP="00F72C2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2136" w:rsidRDefault="00F92136" w:rsidP="00502B3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47" w:rsidRDefault="00F44847" w:rsidP="00F4484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4847" w:rsidRDefault="00F44847" w:rsidP="00F4484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88" w:rsidRDefault="004C0088">
      <w:pPr>
        <w:spacing w:after="0" w:line="240" w:lineRule="auto"/>
      </w:pPr>
      <w:r>
        <w:separator/>
      </w:r>
    </w:p>
  </w:footnote>
  <w:footnote w:type="continuationSeparator" w:id="0">
    <w:p w:rsidR="004C0088" w:rsidRDefault="004C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669265"/>
      <w:docPartObj>
        <w:docPartGallery w:val="Page Numbers (Top of Page)"/>
        <w:docPartUnique/>
      </w:docPartObj>
    </w:sdtPr>
    <w:sdtEndPr/>
    <w:sdtContent>
      <w:p w:rsidR="00F92136" w:rsidRDefault="00F921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729" w:rsidRPr="009C4729">
          <w:rPr>
            <w:noProof/>
            <w:lang w:val="ru-RU"/>
          </w:rPr>
          <w:t>17</w:t>
        </w:r>
        <w:r>
          <w:rPr>
            <w:noProof/>
            <w:lang w:val="ru-RU"/>
          </w:rPr>
          <w:fldChar w:fldCharType="end"/>
        </w:r>
      </w:p>
    </w:sdtContent>
  </w:sdt>
  <w:p w:rsidR="00F92136" w:rsidRPr="001769AE" w:rsidRDefault="00F92136" w:rsidP="001769AE">
    <w:pPr>
      <w:pStyle w:val="ac"/>
      <w:jc w:val="both"/>
      <w:rPr>
        <w:b/>
        <w:i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9675"/>
      <w:docPartObj>
        <w:docPartGallery w:val="Page Numbers (Top of Page)"/>
        <w:docPartUnique/>
      </w:docPartObj>
    </w:sdtPr>
    <w:sdtEndPr/>
    <w:sdtContent>
      <w:p w:rsidR="00F44847" w:rsidRDefault="00C100D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729" w:rsidRPr="009C4729">
          <w:rPr>
            <w:noProof/>
            <w:lang w:val="ru-RU"/>
          </w:rPr>
          <w:t>20</w:t>
        </w:r>
        <w:r>
          <w:rPr>
            <w:noProof/>
            <w:lang w:val="ru-RU"/>
          </w:rPr>
          <w:fldChar w:fldCharType="end"/>
        </w:r>
      </w:p>
    </w:sdtContent>
  </w:sdt>
  <w:p w:rsidR="00F44847" w:rsidRPr="001769AE" w:rsidRDefault="00F44847" w:rsidP="00F44847">
    <w:pPr>
      <w:pStyle w:val="ac"/>
      <w:jc w:val="both"/>
      <w:rPr>
        <w:b/>
        <w:i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7750"/>
    <w:rsid w:val="00016629"/>
    <w:rsid w:val="00124743"/>
    <w:rsid w:val="002315FD"/>
    <w:rsid w:val="00235FB1"/>
    <w:rsid w:val="003D2820"/>
    <w:rsid w:val="003E6917"/>
    <w:rsid w:val="004C0088"/>
    <w:rsid w:val="006C0481"/>
    <w:rsid w:val="00962AB0"/>
    <w:rsid w:val="009C4729"/>
    <w:rsid w:val="009E62E5"/>
    <w:rsid w:val="00AD3C42"/>
    <w:rsid w:val="00BB52A8"/>
    <w:rsid w:val="00C100DC"/>
    <w:rsid w:val="00C45417"/>
    <w:rsid w:val="00CD7750"/>
    <w:rsid w:val="00CF019A"/>
    <w:rsid w:val="00DD4BDE"/>
    <w:rsid w:val="00E33C4A"/>
    <w:rsid w:val="00F16A66"/>
    <w:rsid w:val="00F44847"/>
    <w:rsid w:val="00F9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D7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750"/>
    <w:rPr>
      <w:rFonts w:ascii="Tahoma" w:hAnsi="Tahoma" w:cs="Tahoma"/>
      <w:sz w:val="16"/>
      <w:szCs w:val="16"/>
    </w:rPr>
  </w:style>
  <w:style w:type="paragraph" w:styleId="a6">
    <w:name w:val="Body Text"/>
    <w:aliases w:val="Знак1 Знак, Знак1 Знак"/>
    <w:basedOn w:val="a"/>
    <w:link w:val="a7"/>
    <w:rsid w:val="00CD775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Знак1 Знак Знак, Знак1 Знак Знак"/>
    <w:basedOn w:val="a0"/>
    <w:link w:val="a6"/>
    <w:rsid w:val="00CD7750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39"/>
    <w:rsid w:val="00CD7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1"/>
    <w:uiPriority w:val="99"/>
    <w:rsid w:val="00CD77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uiPriority w:val="99"/>
    <w:semiHidden/>
    <w:rsid w:val="00CD7750"/>
  </w:style>
  <w:style w:type="character" w:styleId="ab">
    <w:name w:val="page number"/>
    <w:basedOn w:val="a0"/>
    <w:rsid w:val="00CD7750"/>
  </w:style>
  <w:style w:type="paragraph" w:styleId="ac">
    <w:name w:val="header"/>
    <w:basedOn w:val="a"/>
    <w:link w:val="10"/>
    <w:uiPriority w:val="99"/>
    <w:rsid w:val="00CD7750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d">
    <w:name w:val="Верхний колонтитул Знак"/>
    <w:basedOn w:val="a0"/>
    <w:uiPriority w:val="99"/>
    <w:semiHidden/>
    <w:rsid w:val="00CD7750"/>
  </w:style>
  <w:style w:type="character" w:customStyle="1" w:styleId="1">
    <w:name w:val="Нижний колонтитул Знак1"/>
    <w:link w:val="a9"/>
    <w:uiPriority w:val="99"/>
    <w:locked/>
    <w:rsid w:val="00CD775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Верхний колонтитул Знак1"/>
    <w:link w:val="ac"/>
    <w:uiPriority w:val="99"/>
    <w:locked/>
    <w:rsid w:val="00CD775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No Spacing"/>
    <w:basedOn w:val="a"/>
    <w:link w:val="af"/>
    <w:uiPriority w:val="1"/>
    <w:qFormat/>
    <w:rsid w:val="00CD7750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">
    <w:name w:val="Без интервала Знак"/>
    <w:link w:val="ae"/>
    <w:uiPriority w:val="99"/>
    <w:rsid w:val="00CD7750"/>
    <w:rPr>
      <w:rFonts w:ascii="Cambria" w:eastAsia="Times New Roman" w:hAnsi="Cambr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545088&amp;sub=1000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F9CE66AD78E500D3862746FFB02E83ABF9098299AA7FD0BA46CB21E0B3s1u6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38284&amp;sub=2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DE10-FF72-4AAE-96A9-767DBD12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20</Pages>
  <Words>6485</Words>
  <Characters>36965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АФГП</Company>
  <LinksUpToDate>false</LinksUpToDate>
  <CharactersWithSpaces>43364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АФГП</dc:creator>
  <cp:keywords/>
  <dc:description/>
  <cp:lastModifiedBy>Пользователь Windows</cp:lastModifiedBy>
  <cp:revision>11</cp:revision>
  <cp:lastPrinted>2018-02-28T05:46:00Z</cp:lastPrinted>
  <dcterms:created xsi:type="dcterms:W3CDTF">2017-12-25T07:00:00Z</dcterms:created>
  <dcterms:modified xsi:type="dcterms:W3CDTF">2018-09-06T10:59:00Z</dcterms:modified>
</cp:coreProperties>
</file>