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99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131DB3">
        <w:rPr>
          <w:rFonts w:ascii="Times New Roman" w:hAnsi="Times New Roman"/>
          <w:sz w:val="24"/>
          <w:szCs w:val="24"/>
        </w:rPr>
        <w:t>Иванковском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2018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2019-2033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67C8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131DB3" w:rsidRPr="00131DB3" w:rsidTr="00E52C00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131DB3" w:rsidRPr="00131DB3" w:rsidTr="00E52C00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131DB3" w:rsidRPr="00131DB3" w:rsidTr="00E52C00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3934,6</w:t>
            </w:r>
          </w:p>
        </w:tc>
      </w:tr>
    </w:tbl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05675" w:rsidRPr="00E05675">
        <w:rPr>
          <w:rFonts w:ascii="Times New Roman" w:hAnsi="Times New Roman"/>
          <w:sz w:val="24"/>
          <w:highlight w:val="yellow"/>
        </w:rPr>
        <w:t>д. Иванково Фурмановского муниципального района</w:t>
      </w:r>
      <w:r w:rsidRPr="00215AAC">
        <w:rPr>
          <w:rFonts w:ascii="Times New Roman" w:hAnsi="Times New Roman"/>
          <w:sz w:val="24"/>
        </w:rPr>
        <w:t xml:space="preserve">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Более детальная прори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>совка зон действия от котельной д. Иванков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Фурмановского муниципального района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131DB3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Котельная д</w:t>
      </w:r>
      <w:r w:rsidR="00C56305"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u w:val="single"/>
          <w:lang w:eastAsia="ru-RU"/>
        </w:rPr>
        <w:t>Иванково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1F716A" w:rsidP="005567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3600" cy="8288020"/>
            <wp:effectExtent l="0" t="0" r="0" b="0"/>
            <wp:docPr id="1" name="Рисунок 1" descr="Описание: C:\Users\днс\Desktop\Иван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нс\Desktop\Иван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6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131DB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1242"/>
        <w:gridCol w:w="1359"/>
      </w:tblGrid>
      <w:tr w:rsidR="00131DB3" w:rsidRPr="00131DB3" w:rsidTr="00E52C00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131DB3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</w:tr>
      <w:tr w:rsidR="00131DB3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2,801</w:t>
            </w:r>
          </w:p>
        </w:tc>
      </w:tr>
      <w:tr w:rsidR="00131DB3" w:rsidRPr="00131DB3" w:rsidTr="00E52C00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1,498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131DB3" w:rsidRPr="00131DB3" w:rsidTr="00E52C00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131DB3" w:rsidRPr="00131DB3" w:rsidTr="00E52C00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131DB3" w:rsidRPr="00131DB3" w:rsidTr="00E52C00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д. Иванково</w:t>
            </w: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2,84</w:t>
            </w: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  <w:r w:rsidRPr="00131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DB3" w:rsidRPr="00131DB3" w:rsidTr="00E52C00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4"/>
                <w:lang w:eastAsia="ru-RU"/>
              </w:rPr>
              <w:t>КСВа-1н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131DB3" w:rsidRPr="00131DB3" w:rsidTr="00E52C00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2018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2033 года, Гкал/год</w:t>
            </w:r>
          </w:p>
        </w:tc>
      </w:tr>
      <w:tr w:rsidR="00131DB3" w:rsidRPr="00131DB3" w:rsidTr="00E52C00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0,039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0,039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131DB3" w:rsidRPr="00131DB3" w:rsidTr="00E52C00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hAnsi="Times New Roman"/>
                <w:color w:val="000000"/>
                <w:lang w:eastAsia="ru-RU"/>
              </w:rPr>
              <w:t>2,801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hAnsi="Times New Roman"/>
                <w:color w:val="000000"/>
                <w:lang w:eastAsia="ru-RU"/>
              </w:rPr>
              <w:t>2,801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В таблице ниже представлены существующие и перспективные потери тепловой энергии в тепловой сети по источник</w:t>
      </w:r>
      <w:r w:rsidRPr="00CC03CB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 xml:space="preserve">ам теплоснабжения </w:t>
      </w:r>
      <w:r w:rsidR="00CC03CB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>д</w:t>
      </w:r>
      <w:r w:rsidR="00CC03CB" w:rsidRPr="00CC03CB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 xml:space="preserve">.Иванково Фурмановского муниципального района </w:t>
      </w:r>
      <w:r w:rsidRPr="00CC03CB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 xml:space="preserve"> Ивановской области</w:t>
      </w:r>
      <w:r w:rsidR="00127EA7" w:rsidRPr="00CC03CB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131DB3" w:rsidRPr="00131DB3" w:rsidTr="00E52C00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hAnsi="Times New Roman"/>
                <w:color w:val="000000"/>
                <w:lang w:eastAsia="ru-RU"/>
              </w:rPr>
              <w:t>0,37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0,24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(2033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131DB3" w:rsidRPr="00131DB3" w:rsidTr="00E52C00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131DB3" w:rsidRPr="00131DB3" w:rsidTr="00E52C00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1DB3">
              <w:rPr>
                <w:rFonts w:ascii="Times New Roman" w:hAnsi="Times New Roman"/>
                <w:lang w:eastAsia="ru-RU"/>
              </w:rPr>
              <w:t>0,933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31DB3">
              <w:rPr>
                <w:rFonts w:ascii="Times New Roman" w:hAnsi="Times New Roman"/>
                <w:lang w:eastAsia="ru-RU"/>
              </w:rPr>
              <w:t>1,063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131DB3" w:rsidRPr="00131DB3" w:rsidTr="00E52C00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131DB3" w:rsidRPr="00131DB3" w:rsidTr="00E52C00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31DB3" w:rsidRPr="00131DB3" w:rsidTr="00E52C00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1,498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Cs w:val="20"/>
                <w:lang w:eastAsia="ru-RU"/>
              </w:rPr>
              <w:t>1,498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131DB3">
        <w:rPr>
          <w:rFonts w:ascii="Times New Roman" w:hAnsi="Times New Roman"/>
          <w:sz w:val="24"/>
          <w:szCs w:val="26"/>
        </w:rPr>
        <w:t>Иванковского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131DB3">
        <w:rPr>
          <w:rFonts w:ascii="Times New Roman" w:hAnsi="Times New Roman"/>
          <w:sz w:val="24"/>
        </w:rPr>
        <w:t>Иванковского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>Необходимые инвестиции на перекладку участков тепловой сети в связи с окончанием нормативного срока эксплуатации представлены в таблице ниже.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1612"/>
        <w:gridCol w:w="1250"/>
        <w:gridCol w:w="1171"/>
        <w:gridCol w:w="1836"/>
      </w:tblGrid>
      <w:tr w:rsidR="00131DB3" w:rsidRPr="00131DB3" w:rsidTr="00E52C00">
        <w:trPr>
          <w:trHeight w:hRule="exact" w:val="9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pacing w:val="-15"/>
                <w:lang w:val="en-US" w:eastAsia="ru-RU"/>
              </w:rPr>
              <w:t>Dnp.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Lпрям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, 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Do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DB3">
              <w:rPr>
                <w:rFonts w:ascii="Times New Roman" w:eastAsia="Times New Roman" w:hAnsi="Times New Roman"/>
                <w:lang w:val="en-US" w:eastAsia="ru-RU"/>
              </w:rPr>
              <w:t>p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. мм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t>обр. 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Теплоизо</w:t>
            </w:r>
            <w:r w:rsidRPr="00131DB3">
              <w:rPr>
                <w:rFonts w:ascii="Times New Roman" w:eastAsia="Times New Roman" w:hAnsi="Times New Roman"/>
                <w:lang w:eastAsia="ru-RU"/>
              </w:rPr>
              <w:softHyphen/>
              <w:t>ляционный материал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Тип прокладки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Год прокладки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Ориентировочная стоимость, руб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9232572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4710470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612886,4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235689,5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2768084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5015153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724914,2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557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до 1990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4876825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надземная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2291100</w:t>
            </w:r>
          </w:p>
        </w:tc>
      </w:tr>
      <w:tr w:rsidR="00131DB3" w:rsidRPr="00131DB3" w:rsidTr="00E52C00">
        <w:trPr>
          <w:trHeight w:hRule="exact"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минеральная вата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канальная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с 2004 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5389540</w:t>
            </w:r>
          </w:p>
        </w:tc>
      </w:tr>
      <w:tr w:rsidR="00131DB3" w:rsidRPr="00131DB3" w:rsidTr="00E52C00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35857233</w:t>
            </w:r>
          </w:p>
        </w:tc>
      </w:tr>
    </w:tbl>
    <w:p w:rsidR="005567C8" w:rsidRPr="005567C8" w:rsidRDefault="005567C8" w:rsidP="005567C8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A4" w:rsidRPr="00215AAC" w:rsidRDefault="005567C8" w:rsidP="005567C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9A386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По </w:t>
      </w:r>
      <w:r w:rsidR="00E05675" w:rsidRPr="009A386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д. Иванково Фурмановского муниципального района</w:t>
      </w:r>
      <w:r w:rsidR="00E05675" w:rsidRPr="00E05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сумма инвестиций, необходимых на перекладку тепловой сети в связи с окончанием нормативного срока эксплуатации, составит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35,857</w:t>
      </w:r>
      <w:r w:rsidRPr="005567C8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 Выполнение данного мероприятия предусматривается в период до 2033 г. равными долями в течении указанного срока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4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5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В качестве</w:t>
      </w:r>
      <w:r w:rsid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основного топлива на котельной </w:t>
      </w:r>
      <w:r w:rsidR="00E05675" w:rsidRPr="00E05675"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  <w:t>д. Иванково Фурмановского муниципального района</w:t>
      </w:r>
      <w:r w:rsidR="00E05675" w:rsidRPr="00E0567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используется </w:t>
      </w:r>
      <w:r w:rsidR="00131DB3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</w:t>
      </w:r>
      <w:r w:rsidR="004D01EF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131DB3" w:rsidRPr="00131DB3" w:rsidTr="00E52C00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131DB3" w:rsidRPr="00131DB3" w:rsidTr="00E52C00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2018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2024-2028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2029-2033</w:t>
            </w:r>
          </w:p>
        </w:tc>
      </w:tr>
      <w:tr w:rsidR="00131DB3" w:rsidRPr="00131DB3" w:rsidTr="00E52C00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д. Иванково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DB3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B3" w:rsidRPr="00131DB3" w:rsidRDefault="00131DB3" w:rsidP="0013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DB3">
              <w:rPr>
                <w:rFonts w:ascii="Times New Roman" w:eastAsia="Times New Roman" w:hAnsi="Times New Roman"/>
                <w:lang w:eastAsia="ru-RU"/>
              </w:rPr>
              <w:t>531,204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</w:t>
      </w:r>
      <w:r w:rsidR="005567C8">
        <w:rPr>
          <w:rFonts w:ascii="Times New Roman" w:hAnsi="Times New Roman"/>
          <w:sz w:val="24"/>
          <w:lang w:eastAsia="x-none"/>
        </w:rPr>
        <w:t>ых сетей представлена в пункте 6</w:t>
      </w:r>
      <w:r w:rsidRPr="00215AAC">
        <w:rPr>
          <w:rFonts w:ascii="Times New Roman" w:hAnsi="Times New Roman"/>
          <w:sz w:val="24"/>
          <w:lang w:eastAsia="x-none"/>
        </w:rPr>
        <w:t>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131DB3">
        <w:rPr>
          <w:rFonts w:ascii="Times New Roman" w:eastAsia="Times New Roman" w:hAnsi="Times New Roman"/>
          <w:sz w:val="24"/>
          <w:szCs w:val="24"/>
          <w:lang w:eastAsia="ru-RU"/>
        </w:rPr>
        <w:t>Иванковского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6"/>
          <w:footerReference w:type="default" r:id="rId2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2018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9A3868">
        <w:rPr>
          <w:rFonts w:ascii="Times New Roman" w:hAnsi="Times New Roman"/>
          <w:sz w:val="24"/>
          <w:szCs w:val="28"/>
        </w:rPr>
        <w:t xml:space="preserve">д. Иванково </w:t>
      </w:r>
      <w:r w:rsidR="009A3868" w:rsidRPr="00E05675">
        <w:rPr>
          <w:rFonts w:ascii="Times New Roman" w:hAnsi="Times New Roman"/>
          <w:sz w:val="24"/>
          <w:highlight w:val="yellow"/>
        </w:rPr>
        <w:t>Фурмановского муниципального района</w:t>
      </w:r>
      <w:r w:rsidR="009A3868" w:rsidRPr="00215AAC">
        <w:rPr>
          <w:rFonts w:ascii="Times New Roman" w:hAnsi="Times New Roman"/>
          <w:sz w:val="24"/>
        </w:rPr>
        <w:t xml:space="preserve"> </w:t>
      </w:r>
      <w:r w:rsidR="00A44FB6" w:rsidRPr="00215AAC">
        <w:rPr>
          <w:rFonts w:ascii="Times New Roman" w:hAnsi="Times New Roman"/>
          <w:sz w:val="24"/>
          <w:szCs w:val="28"/>
        </w:rPr>
        <w:t>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DA" w:rsidRDefault="000122DA" w:rsidP="00D1356B">
      <w:pPr>
        <w:spacing w:after="0" w:line="240" w:lineRule="auto"/>
      </w:pPr>
      <w:r>
        <w:separator/>
      </w:r>
    </w:p>
  </w:endnote>
  <w:endnote w:type="continuationSeparator" w:id="0">
    <w:p w:rsidR="000122DA" w:rsidRDefault="000122DA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1F716A">
      <w:rPr>
        <w:rFonts w:ascii="Times New Roman" w:hAnsi="Times New Roman"/>
        <w:noProof/>
      </w:rPr>
      <w:t>3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1F716A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1F716A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1F716A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 w:rsidR="00131DB3">
      <w:rPr>
        <w:rFonts w:ascii="Times New Roman" w:hAnsi="Times New Roman"/>
      </w:rPr>
      <w:t>Иванковского</w:t>
    </w:r>
    <w:r>
      <w:rPr>
        <w:rFonts w:ascii="Times New Roman" w:hAnsi="Times New Roman"/>
      </w:rPr>
      <w:t xml:space="preserve">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1F716A" w:rsidRPr="001F716A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DA" w:rsidRDefault="000122DA" w:rsidP="00D1356B">
      <w:pPr>
        <w:spacing w:after="0" w:line="240" w:lineRule="auto"/>
      </w:pPr>
      <w:r>
        <w:separator/>
      </w:r>
    </w:p>
  </w:footnote>
  <w:footnote w:type="continuationSeparator" w:id="0">
    <w:p w:rsidR="000122DA" w:rsidRDefault="000122DA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0A1D3B" w:rsidRDefault="00E6116C" w:rsidP="00D1356B">
    <w:pPr>
      <w:pStyle w:val="a3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ООО «Омега-Спектр»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2DA"/>
    <w:rsid w:val="0001274C"/>
    <w:rsid w:val="00013561"/>
    <w:rsid w:val="0002441A"/>
    <w:rsid w:val="0002790E"/>
    <w:rsid w:val="000321F6"/>
    <w:rsid w:val="0003275A"/>
    <w:rsid w:val="000327B9"/>
    <w:rsid w:val="00032F0A"/>
    <w:rsid w:val="00041E2A"/>
    <w:rsid w:val="00045250"/>
    <w:rsid w:val="00046BDD"/>
    <w:rsid w:val="0005090A"/>
    <w:rsid w:val="00050C3D"/>
    <w:rsid w:val="00053E19"/>
    <w:rsid w:val="00057FDF"/>
    <w:rsid w:val="000608D8"/>
    <w:rsid w:val="000621B3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1DB3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1F716A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5499B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01EF"/>
    <w:rsid w:val="004D218F"/>
    <w:rsid w:val="004D25D3"/>
    <w:rsid w:val="004D6A00"/>
    <w:rsid w:val="004E1C01"/>
    <w:rsid w:val="004E61BA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567C8"/>
    <w:rsid w:val="005641A9"/>
    <w:rsid w:val="005662C4"/>
    <w:rsid w:val="005735C0"/>
    <w:rsid w:val="005753E5"/>
    <w:rsid w:val="00575D63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73B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E37"/>
    <w:rsid w:val="00985A7B"/>
    <w:rsid w:val="00993955"/>
    <w:rsid w:val="00995461"/>
    <w:rsid w:val="00997473"/>
    <w:rsid w:val="009A3868"/>
    <w:rsid w:val="009A56F2"/>
    <w:rsid w:val="009A620E"/>
    <w:rsid w:val="009A6628"/>
    <w:rsid w:val="009B0A84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03CB"/>
    <w:rsid w:val="00CC1A63"/>
    <w:rsid w:val="00CC54F6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05675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C00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6BCB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1A395FC97936895DF398B45F32AB82064110A61B6F295424657E4A382D12102582E7B73C0D7980ABR7H7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albur.ru/warm.html" TargetMode="Externa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A395FC97936895DF398B45F32AB82064110A61B6F295424657E4A382D12102582E7B73C0D7980A8R7H6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hyperlink" Target="consultantplus://offline/ref=1A395FC97936895DF398B45F32AB82064110A61B6F295424657E4A382D12102582E7B73C0D7980A8R7H6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36F4-3BE2-4778-8396-C4D5CC46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40713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2020-01-17T12:03:00Z</dcterms:created>
  <dcterms:modified xsi:type="dcterms:W3CDTF">2020-01-17T12:03:00Z</dcterms:modified>
</cp:coreProperties>
</file>