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2" w:rightFromText="172" w:vertAnchor="text" w:tblpX="-635"/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569"/>
        <w:gridCol w:w="427"/>
        <w:gridCol w:w="13"/>
        <w:gridCol w:w="963"/>
        <w:gridCol w:w="1048"/>
        <w:gridCol w:w="354"/>
        <w:gridCol w:w="271"/>
        <w:gridCol w:w="26"/>
        <w:gridCol w:w="891"/>
        <w:gridCol w:w="584"/>
        <w:gridCol w:w="842"/>
        <w:gridCol w:w="1110"/>
      </w:tblGrid>
      <w:tr w:rsidR="00F27D26" w:rsidRPr="002E56EF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F27D26" w:rsidRDefault="00F27D26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Паспорта продуктов «Классический»</w:t>
            </w:r>
          </w:p>
        </w:tc>
      </w:tr>
      <w:tr w:rsidR="00F27D26" w:rsidRPr="002E56EF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«Классический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оборотный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услуг, и пр.).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F27D26" w:rsidRDefault="00F27D26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зарегистрированные и осуществляющие деятельность на территории </w:t>
            </w: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="00D420E1" w:rsidRPr="00D42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F27D26" w:rsidRPr="002E56EF" w:rsidRDefault="00F27D26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D420E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</w:t>
            </w:r>
            <w:r w:rsidR="00F27D26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D420E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7,5</w:t>
            </w:r>
            <w:r w:rsidR="00F27D26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F27D26" w:rsidRPr="002E56EF" w:rsidTr="00707A1B">
        <w:tc>
          <w:tcPr>
            <w:tcW w:w="2201" w:type="dxa"/>
            <w:tcBorders>
              <w:top w:val="single" w:sz="4" w:space="0" w:color="984806" w:themeColor="accent6" w:themeShade="80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E1" w:rsidRDefault="00F27D26" w:rsidP="008F3589">
            <w:pPr>
              <w:spacing w:before="100" w:beforeAutospacing="1" w:after="0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</w:t>
            </w:r>
            <w:r w:rsidR="00D42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имого и недвижимого имущества, 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</w:t>
            </w:r>
            <w:r w:rsidR="00D420E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ридических и/или физических лиц.</w:t>
            </w:r>
          </w:p>
          <w:p w:rsidR="00F27D26" w:rsidRPr="002E56EF" w:rsidRDefault="00F27D26" w:rsidP="008F3589">
            <w:pPr>
              <w:spacing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 при сумме займа до </w:t>
            </w:r>
            <w:r w:rsidRPr="00D42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D420E1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 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(пятьсот) тысяч рублей.</w:t>
            </w:r>
          </w:p>
        </w:tc>
      </w:tr>
      <w:tr w:rsidR="00D420E1" w:rsidRPr="002E56EF" w:rsidTr="00F13A10">
        <w:tc>
          <w:tcPr>
            <w:tcW w:w="10299" w:type="dxa"/>
            <w:gridSpan w:val="13"/>
            <w:tcBorders>
              <w:top w:val="nil"/>
              <w:left w:val="single" w:sz="8" w:space="0" w:color="984806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1" w:rsidRPr="002E56EF" w:rsidRDefault="00D420E1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1" w:rsidRPr="002E56EF" w:rsidRDefault="00D420E1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1" w:rsidRPr="002E56EF" w:rsidRDefault="00820FDC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D420E1" w:rsidRPr="002E56EF" w:rsidRDefault="00820FDC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1" w:rsidRPr="002E56EF" w:rsidRDefault="00D420E1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E1" w:rsidRPr="002E56EF" w:rsidRDefault="00820FDC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D420E1" w:rsidRPr="002E56EF" w:rsidRDefault="00820FDC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F27D26" w:rsidRPr="002E56EF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«Классический</w:t>
            </w:r>
            <w:r w:rsidR="004E7AC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инвестиционный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4E7ACD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зарегистрированные и осуществляющие деятельность на территории </w:t>
            </w: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78759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F27D26" w:rsidRPr="002E56EF" w:rsidRDefault="00F27D26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="00F27D26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6,5</w:t>
            </w:r>
            <w:r w:rsidR="00F27D26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F27D26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D26" w:rsidRPr="002E56EF" w:rsidRDefault="00F27D26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Default="00787590" w:rsidP="008F3589">
            <w:pPr>
              <w:spacing w:after="0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имого и недвижимого имущества, 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ридических и/или физических лиц.</w:t>
            </w:r>
          </w:p>
          <w:p w:rsidR="00F27D26" w:rsidRPr="002E56EF" w:rsidRDefault="00787590" w:rsidP="008F3589">
            <w:pPr>
              <w:spacing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 при сумме займа до </w:t>
            </w:r>
            <w:r w:rsidRPr="00D42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D420E1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 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(пятьсот) тысяч рублей.</w:t>
            </w:r>
          </w:p>
        </w:tc>
      </w:tr>
      <w:tr w:rsidR="00787590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87590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Default="00787590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787590" w:rsidRDefault="00787590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787590" w:rsidRPr="002E56EF" w:rsidRDefault="00787590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787590" w:rsidRPr="002E56EF" w:rsidRDefault="00787590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787590" w:rsidRPr="002E56EF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«Классический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рефинанс</w:t>
            </w:r>
            <w:proofErr w:type="spellEnd"/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787590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Рефинансирование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действующей перед иными финансовыми организациями задолженности по кредитам, привлеченным на цели, связанные с осуществлением предпринимательской деятельности, лизингу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787590" w:rsidRPr="00F27D26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F27D26" w:rsidRDefault="00787590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зарегистрированные и осуществляющие деятельность на территории </w:t>
            </w: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</w:p>
        </w:tc>
      </w:tr>
      <w:tr w:rsidR="00787590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787590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787590" w:rsidRPr="002E56EF" w:rsidRDefault="00787590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7,5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787590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787590" w:rsidRPr="002E56EF" w:rsidTr="00707A1B">
        <w:tc>
          <w:tcPr>
            <w:tcW w:w="220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Pr="002E56EF" w:rsidRDefault="00787590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90" w:rsidRDefault="00787590" w:rsidP="008F3589">
            <w:pPr>
              <w:spacing w:before="100" w:beforeAutospacing="1" w:after="0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имого и недвижимого имущества, 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ридических и/или физических лиц.</w:t>
            </w:r>
          </w:p>
          <w:p w:rsidR="00787590" w:rsidRPr="002E56EF" w:rsidRDefault="00787590" w:rsidP="008F3589">
            <w:pPr>
              <w:spacing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 при сумме займа до </w:t>
            </w:r>
            <w:r w:rsidRPr="00D420E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D420E1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 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(пятьсот) тысяч рублей.</w:t>
            </w:r>
          </w:p>
        </w:tc>
      </w:tr>
      <w:tr w:rsidR="002664D8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2664D8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Default="002664D8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2664D8" w:rsidRDefault="002664D8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2664D8" w:rsidRPr="002E56EF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F27D26" w:rsidRDefault="002664D8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Паспорта продуктов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Льготный</w:t>
            </w: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»</w:t>
            </w:r>
          </w:p>
        </w:tc>
      </w:tr>
      <w:tr w:rsidR="002664D8" w:rsidRPr="002E56EF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CB8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«Льготный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оборотный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тной платы, оплата услуг и пр.).</w:t>
            </w:r>
          </w:p>
        </w:tc>
      </w:tr>
      <w:tr w:rsidR="002664D8" w:rsidRPr="002E56EF" w:rsidTr="00707A1B">
        <w:trPr>
          <w:trHeight w:val="925"/>
        </w:trPr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664D8" w:rsidRDefault="002664D8" w:rsidP="008F35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664D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относящиеся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к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атегории приоритетных проектов, 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зарегистрированные и осуществляющие деятельность на территории 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ской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  <w:proofErr w:type="gramEnd"/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2664D8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left="-110" w:right="-134" w:firstLine="32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vAlign w:val="center"/>
            <w:hideMark/>
          </w:tcPr>
          <w:p w:rsidR="002664D8" w:rsidRPr="002E56EF" w:rsidRDefault="002664D8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2664D8" w:rsidRPr="002E56EF" w:rsidRDefault="002664D8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2664D8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2664D8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Default="002664D8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2664D8" w:rsidRDefault="002664D8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2664D8" w:rsidRPr="002E56EF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CB8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«Льготный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инвестиционный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98635D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2664D8" w:rsidRPr="002664D8" w:rsidTr="00707A1B">
        <w:trPr>
          <w:trHeight w:val="925"/>
        </w:trPr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664D8" w:rsidRDefault="002664D8" w:rsidP="008F35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664D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относящиеся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к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атегории приоритетных проектов, 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зарегистрированные и осуществляющие деятельность на территории 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ской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  <w:proofErr w:type="gramEnd"/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left="-110" w:right="-134" w:firstLine="32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vAlign w:val="center"/>
            <w:hideMark/>
          </w:tcPr>
          <w:p w:rsidR="002664D8" w:rsidRPr="002E56EF" w:rsidRDefault="002664D8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98635D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</w:t>
            </w:r>
            <w:r w:rsidR="002664D8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98635D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="002664D8"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2664D8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D8" w:rsidRPr="002E56EF" w:rsidRDefault="002664D8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2664D8" w:rsidRPr="002E56EF" w:rsidRDefault="002664D8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2664D8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2664D8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Default="002664D8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2664D8" w:rsidRDefault="002664D8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2664D8" w:rsidRPr="002E56EF" w:rsidRDefault="002664D8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98635D" w:rsidRPr="002E56EF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CB89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«Льготный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рефинанс</w:t>
            </w:r>
            <w:proofErr w:type="spellEnd"/>
            <w:r w:rsidRPr="002E56EF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98635D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Рефинансирование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действующей перед иными финансовыми организациями задолженности по кредитам, привлеченным на цели, связанные с осуществлением предпринимательской деятельности, лизингу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98635D" w:rsidRPr="002664D8" w:rsidTr="00707A1B">
        <w:trPr>
          <w:trHeight w:val="925"/>
        </w:trPr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664D8" w:rsidRDefault="0098635D" w:rsidP="008F358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2664D8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относящиеся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к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атегории приоритетных проектов, 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зарегистрированные и осуществляющие деятельность на территории 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ской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  <w:proofErr w:type="gramEnd"/>
          </w:p>
        </w:tc>
      </w:tr>
      <w:tr w:rsidR="0098635D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98635D" w:rsidRPr="002E56EF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65" w:lineRule="atLeast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65" w:lineRule="atLeast"/>
              <w:ind w:left="-110" w:right="-134" w:firstLine="32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rPr>
          <w:trHeight w:val="65"/>
        </w:trPr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DE9D9" w:themeFill="accent6" w:themeFillTint="33"/>
            <w:vAlign w:val="center"/>
            <w:hideMark/>
          </w:tcPr>
          <w:p w:rsidR="0098635D" w:rsidRPr="002E56EF" w:rsidRDefault="0098635D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65" w:lineRule="atLeast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6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98635D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98635D" w:rsidRPr="002E56EF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35D" w:rsidRPr="002E56EF" w:rsidRDefault="0098635D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98635D" w:rsidRPr="002E56EF" w:rsidRDefault="0098635D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105AF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105AF9">
              <w:rPr>
                <w:rFonts w:ascii="Times New Roman" w:eastAsia="Times New Roman" w:hAnsi="Times New Roman" w:cs="Times New Roman"/>
                <w:color w:val="262626" w:themeColor="text1" w:themeTint="D9"/>
                <w:szCs w:val="24"/>
                <w:lang w:eastAsia="ru-RU"/>
              </w:rPr>
              <w:t> 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(пятьсот) тысяч рублей.</w:t>
            </w:r>
          </w:p>
        </w:tc>
      </w:tr>
      <w:tr w:rsidR="0098635D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Pr="002E56EF" w:rsidRDefault="0098635D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98635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Default="0098635D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98635D" w:rsidRDefault="0098635D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2E56EF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645" w:type="dxa"/>
            <w:gridSpan w:val="7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Pr="002E56EF" w:rsidRDefault="0098635D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3453" w:type="dxa"/>
            <w:gridSpan w:val="5"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98635D" w:rsidRPr="002E56EF" w:rsidRDefault="0098635D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2E56EF" w:rsidTr="00707A1B"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Pr="002E56EF" w:rsidRDefault="0098635D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gridSpan w:val="7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5D" w:rsidRPr="002E56EF" w:rsidRDefault="0098635D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3453" w:type="dxa"/>
            <w:gridSpan w:val="5"/>
            <w:tcBorders>
              <w:top w:val="single" w:sz="4" w:space="0" w:color="E36C0A" w:themeColor="accent6" w:themeShade="BF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</w:tcPr>
          <w:p w:rsidR="0098635D" w:rsidRPr="002E56EF" w:rsidRDefault="0098635D" w:rsidP="008F3589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4,75</w:t>
            </w: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1C3AAC" w:rsidRPr="00F27D26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F27D26" w:rsidRDefault="001C3AAC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 xml:space="preserve"> продукта</w:t>
            </w: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Старт</w:t>
            </w: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»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 приобретение программного обеспечения, внедрение новых технологий и пр.).</w:t>
            </w:r>
          </w:p>
          <w:p w:rsidR="001C3AAC" w:rsidRPr="00331A0C" w:rsidRDefault="001C3AAC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зарегистрированные и осуществляющие деятельность на территории </w:t>
            </w: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области, </w:t>
            </w:r>
            <w:r w:rsidRPr="00F27D2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кроме моногородов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1C3AA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1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(одного) миллиона рублей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 w:rsidRPr="001C3AA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331A0C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1C3AAC" w:rsidRPr="00331A0C" w:rsidRDefault="001C3AAC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1C3AAC" w:rsidRPr="00331A0C" w:rsidRDefault="001C3AAC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7,5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1C3AAC" w:rsidRPr="00331A0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AAC" w:rsidRPr="00331A0C" w:rsidRDefault="001C3AAC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 движимого и недвижимого имущества</w:t>
            </w:r>
            <w:r w:rsidR="00FB3E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поручительство юр</w:t>
            </w:r>
            <w:r w:rsidR="00FB3EF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идических и/или физических лиц.</w:t>
            </w:r>
          </w:p>
          <w:p w:rsidR="001C3AAC" w:rsidRPr="00331A0C" w:rsidRDefault="001C3AAC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FB3EF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300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(трехсот) тысяч рублей.</w:t>
            </w:r>
          </w:p>
        </w:tc>
      </w:tr>
      <w:tr w:rsidR="00FB3EFD" w:rsidRPr="002E56EF" w:rsidTr="00F13A10">
        <w:tc>
          <w:tcPr>
            <w:tcW w:w="10299" w:type="dxa"/>
            <w:gridSpan w:val="13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FD" w:rsidRPr="002E56EF" w:rsidRDefault="00FB3EFD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FD" w:rsidRDefault="00FB3EFD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FB3EFD" w:rsidRDefault="00FB3EFD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FB3EFD" w:rsidRPr="00331A0C" w:rsidRDefault="00FB3EFD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FB3EFD" w:rsidRPr="00331A0C" w:rsidRDefault="00FB3EFD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EFD" w:rsidRPr="00331A0C" w:rsidRDefault="00FB3EFD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7D00DE" w:rsidRPr="00F27D26" w:rsidTr="008F3589">
        <w:trPr>
          <w:trHeight w:val="401"/>
        </w:trPr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F27D26" w:rsidRDefault="007D00DE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4"/>
                <w:szCs w:val="18"/>
                <w:lang w:eastAsia="ru-RU"/>
              </w:rPr>
            </w:pP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а продуктов</w:t>
            </w: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Моногород</w:t>
            </w:r>
            <w:r w:rsidRPr="00F27D2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»</w:t>
            </w:r>
          </w:p>
        </w:tc>
      </w:tr>
      <w:tr w:rsidR="007D00DE" w:rsidRPr="0078381D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EBC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«Моногород </w:t>
            </w:r>
            <w:r w:rsidR="001C20F1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оборотный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1C20F1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Целевая 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6D7556" w:rsidRDefault="007D00DE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Субъекты малого и среднего предпринимательства, которые </w:t>
            </w: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 xml:space="preserve">зарегистрированы в </w:t>
            </w:r>
            <w:r w:rsidRPr="006D755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моногороде</w:t>
            </w: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6D755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</w:t>
            </w:r>
            <w:r w:rsid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льный срок</w:t>
            </w:r>
            <w:r w:rsidR="006D7556"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составляет </w:t>
            </w:r>
            <w:r w:rsidR="001C20F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="006D7556"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78381D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7D00DE" w:rsidRPr="0078381D" w:rsidRDefault="007D00DE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D916C5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D916C5" w:rsidP="008F358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D916C5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D916C5" w:rsidP="008F358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7D00DE" w:rsidRPr="0078381D" w:rsidRDefault="007D00DE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D916C5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</w:t>
            </w:r>
            <w:r w:rsidR="001C20F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="00D916C5"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,5</w:t>
            </w:r>
            <w:r w:rsidR="00D916C5"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7</w:t>
            </w:r>
            <w:r w:rsidR="00D916C5"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8F3589" w:rsidRPr="0078381D" w:rsidTr="00F13A10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0DE" w:rsidRPr="0078381D" w:rsidRDefault="007D00DE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Default="00D916C5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7D00DE" w:rsidRPr="0078381D" w:rsidRDefault="00D916C5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1C20F1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F1" w:rsidRPr="002E56EF" w:rsidRDefault="001C20F1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F1" w:rsidRDefault="001C20F1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1C20F1" w:rsidRDefault="001C20F1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1C20F1" w:rsidRPr="00331A0C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8" w:space="0" w:color="984806"/>
            </w:tcBorders>
            <w:vAlign w:val="center"/>
            <w:hideMark/>
          </w:tcPr>
          <w:p w:rsidR="001C20F1" w:rsidRPr="00331A0C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1C20F1" w:rsidRPr="0078381D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EBC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«Моногород инвестиционный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6D7556" w:rsidRDefault="001C20F1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Субъекты малого и среднего предпринимательства, которые зарегистрированы в </w:t>
            </w:r>
            <w:r w:rsidRPr="006D755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моногороде</w:t>
            </w: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6D755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льный срок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составляет </w:t>
            </w:r>
            <w:r w:rsidRPr="001C3AA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78381D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1C20F1" w:rsidRPr="0078381D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1C20F1" w:rsidRPr="0078381D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8F3589" w:rsidRPr="0078381D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8F3589" w:rsidRPr="0078381D" w:rsidTr="00F13A10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78381D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Default="001C20F1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1C20F1" w:rsidRPr="0078381D" w:rsidRDefault="001C20F1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1C20F1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F1" w:rsidRPr="002E56EF" w:rsidRDefault="001C20F1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F1" w:rsidRDefault="001C20F1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1C20F1" w:rsidRDefault="001C20F1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1C20F1" w:rsidRPr="00331A0C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4" w:space="0" w:color="E36C0A" w:themeColor="accent6" w:themeShade="BF"/>
              <w:right w:val="single" w:sz="8" w:space="0" w:color="984806"/>
            </w:tcBorders>
            <w:vAlign w:val="center"/>
            <w:hideMark/>
          </w:tcPr>
          <w:p w:rsidR="001C20F1" w:rsidRPr="00331A0C" w:rsidRDefault="001C20F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0F1" w:rsidRPr="00331A0C" w:rsidRDefault="001C20F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2570DB" w:rsidRPr="0078381D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EBC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 xml:space="preserve">«Моногород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рефинанс</w:t>
            </w:r>
            <w:proofErr w:type="spellEnd"/>
            <w:r w:rsidRPr="0078381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Рефинансирование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действующей перед иными финансовыми организациями задолженности по кредитам, привлеченным на цели, связанные с осуществлением предпринимательской деятельности, лизингу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707A1B" w:rsidRPr="006D7556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6D7556" w:rsidRDefault="002570DB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Субъекты малого и среднего предпринимательства, которые зарегистрированы в </w:t>
            </w:r>
            <w:r w:rsidRPr="006D755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моногороде</w:t>
            </w: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6D7556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(трех) миллионов рублей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льный срок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составляет </w:t>
            </w:r>
            <w:r w:rsidRPr="001C3AA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78381D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2570DB" w:rsidRPr="0078381D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8F3589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2570DB" w:rsidRPr="0078381D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7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707A1B" w:rsidRPr="0078381D" w:rsidTr="00F13A10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Default="002570DB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2570DB" w:rsidRPr="0078381D" w:rsidRDefault="002570DB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500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(пятьсот) тысяч рублей.</w:t>
            </w:r>
          </w:p>
        </w:tc>
      </w:tr>
      <w:tr w:rsidR="002570DB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DB" w:rsidRPr="002E56EF" w:rsidRDefault="002570DB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DB" w:rsidRDefault="002570DB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2570DB" w:rsidRDefault="002570DB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2570DB" w:rsidRPr="00331A0C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4" w:space="0" w:color="E36C0A" w:themeColor="accent6" w:themeShade="BF"/>
              <w:right w:val="single" w:sz="8" w:space="0" w:color="984806"/>
            </w:tcBorders>
            <w:vAlign w:val="center"/>
            <w:hideMark/>
          </w:tcPr>
          <w:p w:rsidR="002570DB" w:rsidRPr="00331A0C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2570DB" w:rsidRPr="0078381D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DEBC9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«Моногород старт</w:t>
            </w:r>
            <w:r w:rsidRPr="0078381D">
              <w:rPr>
                <w:rFonts w:ascii="Times New Roman" w:eastAsia="Times New Roman" w:hAnsi="Times New Roman" w:cs="Times New Roman"/>
                <w:b/>
                <w:bCs/>
                <w:color w:val="663300"/>
                <w:sz w:val="32"/>
                <w:szCs w:val="48"/>
                <w:lang w:eastAsia="ru-RU"/>
              </w:rPr>
              <w:t>»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105AF9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</w:tc>
      </w:tr>
      <w:tr w:rsidR="00707A1B" w:rsidRPr="006D7556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6D7556" w:rsidRDefault="002570DB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Субъекты малого и среднего предпринимательства, которые зарегистрированы в </w:t>
            </w:r>
            <w:r w:rsidRPr="006D755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моногороде</w:t>
            </w:r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6D755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  <w:r w:rsidR="00105AF9">
              <w:rPr>
                <w:rFonts w:ascii="Times New Roman" w:hAnsi="Times New Roman" w:cs="Times New Roman"/>
                <w:sz w:val="24"/>
              </w:rPr>
              <w:t xml:space="preserve">, и </w:t>
            </w:r>
            <w:r w:rsidR="00105AF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осуществляют или</w:t>
            </w:r>
            <w:r w:rsidR="00105AF9" w:rsidRPr="00105AF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</w:t>
            </w:r>
            <w:r w:rsidR="00105AF9" w:rsidRPr="00105AF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</w:rPr>
              <w:t>начинают осуществлять</w:t>
            </w:r>
            <w:r w:rsidR="00105AF9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свою деятельность.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="00105AF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1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</w:t>
            </w:r>
            <w:r w:rsidR="00105AF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одного</w:t>
            </w:r>
            <w:r w:rsidR="00B07704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) миллиона</w:t>
            </w: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льный срок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составляет </w:t>
            </w:r>
            <w:r w:rsidRPr="001C3AA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78381D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2570DB" w:rsidRPr="0078381D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8F3589" w:rsidRPr="0078381D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vAlign w:val="center"/>
            <w:hideMark/>
          </w:tcPr>
          <w:p w:rsidR="002570DB" w:rsidRPr="0078381D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</w:t>
            </w:r>
            <w:r w:rsidR="00B07704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B07704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</w:t>
            </w:r>
            <w:r w:rsidR="002570DB"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B07704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7,5</w:t>
            </w:r>
            <w:r w:rsidR="002570DB"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707A1B" w:rsidRPr="0078381D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707A1B" w:rsidRPr="0078381D" w:rsidTr="00F13A10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78381D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8381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Default="002570DB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Залог движимого и недвижимого имущества, поручительство юридических и/или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физических лиц.</w:t>
            </w:r>
          </w:p>
          <w:p w:rsidR="002570DB" w:rsidRPr="0078381D" w:rsidRDefault="002570DB" w:rsidP="008F358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Поручительство юридических и/или физических лиц, при сумме займа до </w:t>
            </w:r>
            <w:r w:rsidR="007B2F1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3</w:t>
            </w:r>
            <w:r w:rsidRPr="00D916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00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</w:t>
            </w:r>
            <w:r w:rsidR="007B2F1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трехсот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) тысяч рублей.</w:t>
            </w:r>
          </w:p>
        </w:tc>
      </w:tr>
      <w:tr w:rsidR="002570DB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DB" w:rsidRPr="002E56EF" w:rsidRDefault="002570DB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DB" w:rsidRDefault="002570DB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2570DB" w:rsidRDefault="002570DB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2570DB" w:rsidRPr="00331A0C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2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Под поручительство</w:t>
            </w:r>
          </w:p>
        </w:tc>
      </w:tr>
      <w:tr w:rsidR="008F3589" w:rsidRPr="00331A0C" w:rsidTr="00707A1B">
        <w:tc>
          <w:tcPr>
            <w:tcW w:w="2201" w:type="dxa"/>
            <w:vMerge/>
            <w:tcBorders>
              <w:top w:val="nil"/>
              <w:left w:val="single" w:sz="8" w:space="0" w:color="984806"/>
              <w:bottom w:val="single" w:sz="4" w:space="0" w:color="E36C0A" w:themeColor="accent6" w:themeShade="BF"/>
              <w:right w:val="single" w:sz="8" w:space="0" w:color="984806"/>
            </w:tcBorders>
            <w:vAlign w:val="center"/>
            <w:hideMark/>
          </w:tcPr>
          <w:p w:rsidR="002570DB" w:rsidRPr="00331A0C" w:rsidRDefault="002570DB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2,5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772" w:type="dxa"/>
            <w:gridSpan w:val="4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0DB" w:rsidRPr="00331A0C" w:rsidRDefault="002570DB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4,75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635871" w:rsidRPr="00A27C5A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 продукта «Быстрый»</w:t>
            </w:r>
          </w:p>
        </w:tc>
      </w:tr>
      <w:tr w:rsidR="00707A1B" w:rsidRPr="00A27C5A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707A1B" w:rsidRPr="00A27C5A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Субъекты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МСП</w:t>
            </w:r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, зарегистрированные и осуществляющие деятельность на территории </w:t>
            </w:r>
            <w:proofErr w:type="gramStart"/>
            <w:r w:rsidRPr="00F27D26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Иванов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 xml:space="preserve"> области</w:t>
            </w:r>
          </w:p>
        </w:tc>
      </w:tr>
      <w:tr w:rsidR="00707A1B" w:rsidRPr="00A27C5A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000 </w:t>
            </w:r>
            <w:r w:rsidRPr="0063587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(двухсот)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63587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рублей</w:t>
            </w:r>
          </w:p>
        </w:tc>
      </w:tr>
      <w:tr w:rsidR="00707A1B" w:rsidRPr="00A27C5A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635871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года</w:t>
            </w:r>
          </w:p>
        </w:tc>
      </w:tr>
      <w:tr w:rsidR="00635871" w:rsidRPr="00A27C5A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Процентная </w:t>
            </w: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П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A27C5A" w:rsidTr="00707A1B">
        <w:trPr>
          <w:trHeight w:val="384"/>
        </w:trPr>
        <w:tc>
          <w:tcPr>
            <w:tcW w:w="2201" w:type="dxa"/>
            <w:vMerge/>
            <w:tcBorders>
              <w:left w:val="single" w:sz="4" w:space="0" w:color="984806" w:themeColor="accent6" w:themeShade="80"/>
              <w:right w:val="single" w:sz="8" w:space="0" w:color="984806"/>
            </w:tcBorders>
            <w:vAlign w:val="center"/>
            <w:hideMark/>
          </w:tcPr>
          <w:p w:rsidR="00635871" w:rsidRPr="00A27C5A" w:rsidRDefault="0063587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635871" w:rsidRDefault="00635871" w:rsidP="008F3589">
            <w:pPr>
              <w:spacing w:before="100" w:beforeAutospacing="1" w:after="100" w:afterAutospacing="1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8"/>
                <w:lang w:eastAsia="ru-RU"/>
              </w:rPr>
              <w:t>Моногород</w:t>
            </w:r>
          </w:p>
        </w:tc>
        <w:tc>
          <w:tcPr>
            <w:tcW w:w="2378" w:type="dxa"/>
            <w:gridSpan w:val="4"/>
            <w:tcBorders>
              <w:top w:val="nil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8" w:space="0" w:color="984806"/>
            </w:tcBorders>
            <w:vAlign w:val="center"/>
          </w:tcPr>
          <w:p w:rsidR="00635871" w:rsidRPr="00635871" w:rsidRDefault="00635871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8"/>
                <w:lang w:eastAsia="ru-RU"/>
              </w:rPr>
              <w:t>Вне моногорода</w:t>
            </w:r>
          </w:p>
        </w:tc>
        <w:tc>
          <w:tcPr>
            <w:tcW w:w="3724" w:type="dxa"/>
            <w:gridSpan w:val="6"/>
            <w:vMerge w:val="restart"/>
            <w:tcBorders>
              <w:top w:val="nil"/>
              <w:left w:val="nil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635871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ru-RU"/>
              </w:rPr>
              <w:t>7,5</w:t>
            </w:r>
            <w:r w:rsidRPr="00635871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  <w:t>% годовых</w:t>
            </w:r>
          </w:p>
        </w:tc>
      </w:tr>
      <w:tr w:rsidR="00707A1B" w:rsidRPr="00A27C5A" w:rsidTr="00707A1B">
        <w:trPr>
          <w:trHeight w:val="312"/>
        </w:trPr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</w:tcPr>
          <w:p w:rsidR="00635871" w:rsidRPr="00A27C5A" w:rsidRDefault="0063587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E36C0A" w:themeColor="accent6" w:themeShade="BF"/>
              <w:left w:val="nil"/>
              <w:bottom w:val="single" w:sz="8" w:space="0" w:color="98480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78" w:type="dxa"/>
            <w:gridSpan w:val="4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8" w:space="0" w:color="984806"/>
              <w:right w:val="single" w:sz="8" w:space="0" w:color="984806"/>
            </w:tcBorders>
            <w:vAlign w:val="center"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6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3724" w:type="dxa"/>
            <w:gridSpan w:val="6"/>
            <w:vMerge/>
            <w:tcBorders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  <w:lang w:eastAsia="ru-RU"/>
              </w:rPr>
            </w:pPr>
          </w:p>
        </w:tc>
      </w:tr>
      <w:tr w:rsidR="00707A1B" w:rsidRPr="00A27C5A" w:rsidTr="00F13A10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A27C5A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Default="00635871" w:rsidP="008F3589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  <w:r w:rsidR="008F3589"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635871" w:rsidRPr="00A27C5A" w:rsidRDefault="008F3589" w:rsidP="008F3589">
            <w:pPr>
              <w:spacing w:after="0" w:line="240" w:lineRule="auto"/>
              <w:ind w:firstLine="1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Без обеспечения</w:t>
            </w:r>
          </w:p>
        </w:tc>
      </w:tr>
      <w:tr w:rsidR="00635871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1" w:rsidRPr="002E56EF" w:rsidRDefault="00635871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871" w:rsidRDefault="00635871" w:rsidP="008F3589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635871" w:rsidRDefault="00635871" w:rsidP="008F3589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8F3589" w:rsidRPr="00331A0C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331A0C" w:rsidRDefault="00635871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374" w:type="dxa"/>
            <w:gridSpan w:val="6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331A0C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331A0C" w:rsidRDefault="00635871" w:rsidP="008F3589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vAlign w:val="center"/>
            <w:hideMark/>
          </w:tcPr>
          <w:p w:rsidR="00635871" w:rsidRPr="00331A0C" w:rsidRDefault="0063587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331A0C" w:rsidRDefault="008F3589" w:rsidP="008F3589">
            <w:pPr>
              <w:spacing w:before="100" w:beforeAutospacing="1" w:after="100" w:afterAutospacing="1" w:line="240" w:lineRule="auto"/>
              <w:ind w:firstLine="39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331A0C" w:rsidRDefault="008F3589" w:rsidP="008F358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18"/>
                <w:lang w:eastAsia="ru-RU"/>
              </w:rPr>
              <w:t>Вне моногорода</w:t>
            </w:r>
          </w:p>
        </w:tc>
        <w:tc>
          <w:tcPr>
            <w:tcW w:w="3724" w:type="dxa"/>
            <w:gridSpan w:val="6"/>
            <w:vMerge w:val="restart"/>
            <w:tcBorders>
              <w:top w:val="nil"/>
              <w:left w:val="nil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331A0C" w:rsidRDefault="008F3589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</w:tr>
      <w:tr w:rsidR="00707A1B" w:rsidRPr="00331A0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bottom w:val="single" w:sz="4" w:space="0" w:color="E36C0A" w:themeColor="accent6" w:themeShade="BF"/>
              <w:right w:val="single" w:sz="8" w:space="0" w:color="984806"/>
            </w:tcBorders>
            <w:vAlign w:val="center"/>
            <w:hideMark/>
          </w:tcPr>
          <w:p w:rsidR="00635871" w:rsidRPr="00331A0C" w:rsidRDefault="00635871" w:rsidP="008F3589">
            <w:pPr>
              <w:spacing w:after="0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331A0C" w:rsidRDefault="008F3589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E36C0A" w:themeColor="accent6" w:themeShade="BF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871" w:rsidRPr="00331A0C" w:rsidRDefault="008F3589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5</w:t>
            </w:r>
            <w:r w:rsidRPr="00331A0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18"/>
                <w:lang w:eastAsia="ru-RU"/>
              </w:rPr>
              <w:t>% годовых</w:t>
            </w:r>
          </w:p>
        </w:tc>
        <w:tc>
          <w:tcPr>
            <w:tcW w:w="3724" w:type="dxa"/>
            <w:gridSpan w:val="6"/>
            <w:vMerge/>
            <w:tcBorders>
              <w:left w:val="nil"/>
              <w:bottom w:val="single" w:sz="4" w:space="0" w:color="E36C0A" w:themeColor="accent6" w:themeShade="BF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71" w:rsidRPr="00331A0C" w:rsidRDefault="00635871" w:rsidP="008F3589">
            <w:pPr>
              <w:spacing w:before="100" w:beforeAutospacing="1" w:after="100" w:afterAutospacing="1" w:line="240" w:lineRule="auto"/>
              <w:ind w:firstLine="48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Cs w:val="18"/>
                <w:lang w:eastAsia="ru-RU"/>
              </w:rPr>
            </w:pPr>
          </w:p>
        </w:tc>
      </w:tr>
      <w:tr w:rsidR="008F3589" w:rsidRPr="00A27C5A" w:rsidTr="008F3589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984806" w:themeFill="accent6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A27C5A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Паспорт продукта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Свое дело</w:t>
            </w:r>
            <w:r w:rsidRPr="0063587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48"/>
                <w:lang w:eastAsia="ru-RU"/>
              </w:rPr>
              <w:t>»</w:t>
            </w: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Цель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A27C5A" w:rsidRDefault="008F3589" w:rsidP="008F3589">
            <w:pPr>
              <w:spacing w:before="100" w:beforeAutospacing="1" w:after="100" w:afterAutospacing="1" w:line="240" w:lineRule="auto"/>
              <w:ind w:firstLine="1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A27C5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Пополнение оборотных средств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(приобретение товарно-материальных ценностей, выплата заработной платы, оплата услуг и пр.).</w:t>
            </w:r>
          </w:p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6358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Инвестиционные цели</w:t>
            </w:r>
            <w:r w:rsidRPr="00A27C5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(приобретение, строительство, ремонт, модернизация основных средств, приобретение программного обеспечения, внедрение новых технологий и пр.).</w:t>
            </w: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8F3589" w:rsidRDefault="008F3589" w:rsidP="008F358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8F35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Физические лица и индивидуальные предприниматели, применяющие </w:t>
            </w:r>
            <w:r w:rsidRPr="008F3589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специальный налоговый режим «Налог на профессиональный доход»</w:t>
            </w:r>
            <w:r w:rsidRPr="008F35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, осуществляющие деятельность на территории </w:t>
            </w:r>
            <w:proofErr w:type="gramStart"/>
            <w:r w:rsidRPr="008F35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Ивановской</w:t>
            </w:r>
            <w:proofErr w:type="gramEnd"/>
            <w:r w:rsidRPr="008F35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Сумма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 </w:t>
            </w:r>
            <w:r w:rsidRPr="008F358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до </w:t>
            </w: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(пятисот) тысяч рублей</w:t>
            </w: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98480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3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71349C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078" w:type="dxa"/>
            <w:gridSpan w:val="7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984806" w:themeColor="accent6" w:themeShade="80"/>
            </w:tcBorders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Без залогового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07A1B" w:rsidRPr="0071349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968" w:type="dxa"/>
            <w:gridSpan w:val="6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110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984806" w:themeColor="accent6" w:themeShade="80"/>
            </w:tcBorders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Иные</w:t>
            </w:r>
          </w:p>
        </w:tc>
      </w:tr>
      <w:tr w:rsidR="00707A1B" w:rsidRPr="0071349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707A1B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8" w:space="0" w:color="984806"/>
            </w:tcBorders>
          </w:tcPr>
          <w:p w:rsidR="00707A1B" w:rsidRDefault="00707A1B" w:rsidP="00707A1B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Вне </w:t>
            </w:r>
          </w:p>
          <w:p w:rsidR="00707A1B" w:rsidRPr="0071349C" w:rsidRDefault="00707A1B" w:rsidP="00707A1B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моногорода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5,5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542" w:type="dxa"/>
            <w:gridSpan w:val="4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Вне моногорода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707A1B" w:rsidRPr="0071349C" w:rsidRDefault="00707A1B" w:rsidP="00B44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7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707A1B" w:rsidRPr="0071349C" w:rsidTr="00707A1B">
        <w:trPr>
          <w:trHeight w:val="254"/>
        </w:trPr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98480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707A1B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,5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8" w:space="0" w:color="984806"/>
            </w:tcBorders>
          </w:tcPr>
          <w:p w:rsidR="00707A1B" w:rsidRPr="0071349C" w:rsidRDefault="00707A1B" w:rsidP="00707A1B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98480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E36C0A" w:themeColor="accent6" w:themeShade="BF"/>
            </w:tcBorders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E36C0A" w:themeColor="accent6" w:themeShade="BF"/>
            </w:tcBorders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6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110" w:type="dxa"/>
            <w:vMerge/>
            <w:tcBorders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</w:tcPr>
          <w:p w:rsidR="00707A1B" w:rsidRPr="0071349C" w:rsidRDefault="00707A1B" w:rsidP="008F358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F7964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График погашения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8" w:space="0" w:color="F79646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707A1B" w:rsidRPr="0071349C" w:rsidTr="00707A1B">
        <w:tc>
          <w:tcPr>
            <w:tcW w:w="2201" w:type="dxa"/>
            <w:tcBorders>
              <w:top w:val="nil"/>
              <w:left w:val="single" w:sz="8" w:space="0" w:color="984806"/>
              <w:bottom w:val="nil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Обеспечение исполнения обязательств по договору займа</w:t>
            </w: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nil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до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  <w:r w:rsidR="00707A1B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тыс. руб. –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без обеспечения;</w:t>
            </w:r>
          </w:p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от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201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до 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500</w:t>
            </w:r>
            <w:r w:rsidRPr="0071349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тыс. руб. – с поручительством третьих лиц или залогом имущества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707A1B" w:rsidRPr="0071349C" w:rsidTr="00F13A10">
        <w:trPr>
          <w:trHeight w:val="72"/>
        </w:trPr>
        <w:tc>
          <w:tcPr>
            <w:tcW w:w="2201" w:type="dxa"/>
            <w:tcBorders>
              <w:top w:val="nil"/>
              <w:left w:val="single" w:sz="8" w:space="0" w:color="984806"/>
              <w:bottom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12"/>
            <w:tcBorders>
              <w:top w:val="nil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589" w:rsidRPr="0071349C" w:rsidRDefault="008F3589" w:rsidP="008F35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707A1B" w:rsidRPr="002E56EF" w:rsidTr="00F13A10">
        <w:tc>
          <w:tcPr>
            <w:tcW w:w="10299" w:type="dxa"/>
            <w:gridSpan w:val="13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2E56EF" w:rsidRDefault="00707A1B" w:rsidP="00F13A10">
            <w:pPr>
              <w:spacing w:before="100" w:beforeAutospacing="1"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*В случае действия в Ивановской области режима повышенной готовности и </w:t>
            </w:r>
            <w:r w:rsidR="00F13A10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ЧС</w:t>
            </w:r>
          </w:p>
        </w:tc>
      </w:tr>
      <w:tr w:rsidR="00707A1B" w:rsidTr="00707A1B">
        <w:tc>
          <w:tcPr>
            <w:tcW w:w="2201" w:type="dxa"/>
            <w:tcBorders>
              <w:top w:val="nil"/>
              <w:left w:val="single" w:sz="4" w:space="0" w:color="984806" w:themeColor="accent6" w:themeShade="80"/>
              <w:bottom w:val="single" w:sz="8" w:space="0" w:color="984806"/>
              <w:right w:val="single" w:sz="4" w:space="0" w:color="E36C0A" w:themeColor="accent6" w:themeShade="BF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Default="00707A1B" w:rsidP="00F631DD">
            <w:pPr>
              <w:spacing w:before="100" w:beforeAutospacing="1" w:after="0" w:line="240" w:lineRule="auto"/>
              <w:ind w:firstLine="1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Срок займа</w:t>
            </w:r>
          </w:p>
        </w:tc>
        <w:tc>
          <w:tcPr>
            <w:tcW w:w="8098" w:type="dxa"/>
            <w:gridSpan w:val="1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  <w:shd w:val="clear" w:color="auto" w:fill="F4E8DC"/>
          </w:tcPr>
          <w:p w:rsidR="00707A1B" w:rsidRDefault="00707A1B" w:rsidP="00F631DD">
            <w:pPr>
              <w:spacing w:before="100" w:beforeAutospacing="1" w:after="0" w:line="240" w:lineRule="auto"/>
              <w:ind w:firstLine="14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Максимальный срок составляет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8"/>
                <w:lang w:eastAsia="ru-RU"/>
              </w:rPr>
              <w:t>2</w:t>
            </w:r>
            <w:r w:rsidRPr="002E56E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года</w:t>
            </w:r>
          </w:p>
        </w:tc>
      </w:tr>
      <w:tr w:rsidR="00707A1B" w:rsidRPr="0071349C" w:rsidTr="00707A1B">
        <w:tc>
          <w:tcPr>
            <w:tcW w:w="2201" w:type="dxa"/>
            <w:vMerge w:val="restart"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Залоговое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078" w:type="dxa"/>
            <w:gridSpan w:val="7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984806" w:themeColor="accent6" w:themeShade="80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Без залогового</w:t>
            </w:r>
            <w:r w:rsidRPr="00331A0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обеспечения</w:t>
            </w:r>
          </w:p>
        </w:tc>
      </w:tr>
      <w:tr w:rsidR="00707A1B" w:rsidRPr="0071349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8" w:space="0" w:color="F79646"/>
              <w:right w:val="single" w:sz="8" w:space="0" w:color="98480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2968" w:type="dxa"/>
            <w:gridSpan w:val="6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Приоритетные проекты</w:t>
            </w:r>
          </w:p>
        </w:tc>
        <w:tc>
          <w:tcPr>
            <w:tcW w:w="1110" w:type="dxa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984806" w:themeColor="accent6" w:themeShade="80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Иные</w:t>
            </w:r>
          </w:p>
        </w:tc>
      </w:tr>
      <w:tr w:rsidR="00707A1B" w:rsidRPr="0071349C" w:rsidTr="00707A1B">
        <w:tc>
          <w:tcPr>
            <w:tcW w:w="2201" w:type="dxa"/>
            <w:vMerge/>
            <w:tcBorders>
              <w:top w:val="nil"/>
              <w:left w:val="single" w:sz="4" w:space="0" w:color="984806" w:themeColor="accent6" w:themeShade="80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F7964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8" w:space="0" w:color="984806"/>
            </w:tcBorders>
          </w:tcPr>
          <w:p w:rsidR="00707A1B" w:rsidRDefault="00707A1B" w:rsidP="00F631D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Вне </w:t>
            </w:r>
          </w:p>
          <w:p w:rsidR="00707A1B" w:rsidRPr="0071349C" w:rsidRDefault="00707A1B" w:rsidP="00F631DD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моногорода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5,5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542" w:type="dxa"/>
            <w:gridSpan w:val="4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Моногород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E36C0A" w:themeColor="accent6" w:themeShade="BF"/>
              <w:bottom w:val="single" w:sz="8" w:space="0" w:color="F79646"/>
              <w:right w:val="single" w:sz="4" w:space="0" w:color="E36C0A" w:themeColor="accent6" w:themeShade="BF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Вне моногорода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E36C0A" w:themeColor="accent6" w:themeShade="BF"/>
              <w:right w:val="single" w:sz="4" w:space="0" w:color="984806" w:themeColor="accent6" w:themeShade="80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7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</w:tr>
      <w:tr w:rsidR="00707A1B" w:rsidRPr="0071349C" w:rsidTr="00707A1B">
        <w:trPr>
          <w:trHeight w:val="254"/>
        </w:trPr>
        <w:tc>
          <w:tcPr>
            <w:tcW w:w="2201" w:type="dxa"/>
            <w:vMerge/>
            <w:tcBorders>
              <w:left w:val="single" w:sz="4" w:space="0" w:color="984806" w:themeColor="accent6" w:themeShade="80"/>
              <w:bottom w:val="single" w:sz="8" w:space="0" w:color="984806"/>
              <w:right w:val="single" w:sz="8" w:space="0" w:color="984806"/>
            </w:tcBorders>
            <w:shd w:val="clear" w:color="auto" w:fill="F4E8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98480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,5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8" w:space="0" w:color="984806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984806"/>
              <w:right w:val="single" w:sz="4" w:space="0" w:color="E36C0A" w:themeColor="accent6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E36C0A" w:themeColor="accent6" w:themeShade="BF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5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E36C0A" w:themeColor="accent6" w:themeShade="BF"/>
              <w:bottom w:val="single" w:sz="8" w:space="0" w:color="984806"/>
              <w:right w:val="single" w:sz="4" w:space="0" w:color="E36C0A" w:themeColor="accent6" w:themeShade="BF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6</w:t>
            </w:r>
            <w:r w:rsidRPr="0071349C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Cs w:val="24"/>
                <w:lang w:eastAsia="ru-RU"/>
              </w:rPr>
              <w:t>% годовых</w:t>
            </w:r>
          </w:p>
        </w:tc>
        <w:tc>
          <w:tcPr>
            <w:tcW w:w="1110" w:type="dxa"/>
            <w:vMerge/>
            <w:tcBorders>
              <w:left w:val="single" w:sz="4" w:space="0" w:color="E36C0A" w:themeColor="accent6" w:themeShade="BF"/>
              <w:bottom w:val="single" w:sz="8" w:space="0" w:color="984806"/>
              <w:right w:val="single" w:sz="4" w:space="0" w:color="984806" w:themeColor="accent6" w:themeShade="80"/>
            </w:tcBorders>
          </w:tcPr>
          <w:p w:rsidR="00707A1B" w:rsidRPr="0071349C" w:rsidRDefault="00707A1B" w:rsidP="00F631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Cs w:val="18"/>
                <w:lang w:eastAsia="ru-RU"/>
              </w:rPr>
            </w:pPr>
          </w:p>
        </w:tc>
      </w:tr>
      <w:tr w:rsidR="00707A1B" w:rsidRPr="0071349C" w:rsidTr="00B12380">
        <w:tc>
          <w:tcPr>
            <w:tcW w:w="10299" w:type="dxa"/>
            <w:gridSpan w:val="13"/>
            <w:tcBorders>
              <w:top w:val="single" w:sz="8" w:space="0" w:color="984806"/>
              <w:left w:val="single" w:sz="8" w:space="0" w:color="984806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E0C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1B" w:rsidRPr="00707A1B" w:rsidRDefault="00707A1B" w:rsidP="00B12380">
            <w:pPr>
              <w:spacing w:before="240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</w:rPr>
            </w:pPr>
            <w:r w:rsidRPr="0071349C">
              <w:rPr>
                <w:rFonts w:ascii="Times New Roman" w:hAnsi="Times New Roman" w:cs="Times New Roman"/>
                <w:color w:val="262626" w:themeColor="text1" w:themeTint="D9"/>
                <w:sz w:val="24"/>
              </w:rPr>
              <w:t>Более подробную информацию об этих продуктах, а также условиях их предоставления можно найти на сайте </w:t>
            </w:r>
            <w:hyperlink w:history="1">
              <w:r w:rsidRPr="002A1A82">
                <w:rPr>
                  <w:rFonts w:ascii="Times New Roman" w:hAnsi="Times New Roman" w:cs="Times New Roman"/>
                  <w:color w:val="0070C0"/>
                  <w:sz w:val="24"/>
                  <w:u w:val="single"/>
                </w:rPr>
                <w:t>http://www.igfpmp.ru/micro-loan</w:t>
              </w:r>
            </w:hyperlink>
            <w:r w:rsidRPr="0071349C">
              <w:rPr>
                <w:rFonts w:ascii="Times New Roman" w:hAnsi="Times New Roman" w:cs="Times New Roman"/>
                <w:color w:val="0070C0"/>
                <w:sz w:val="24"/>
              </w:rPr>
              <w:t>.</w:t>
            </w:r>
          </w:p>
        </w:tc>
      </w:tr>
    </w:tbl>
    <w:p w:rsidR="001C20F1" w:rsidRPr="00787590" w:rsidRDefault="001C20F1" w:rsidP="001C20F1">
      <w:pPr>
        <w:tabs>
          <w:tab w:val="left" w:pos="1188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F27D26" w:rsidRPr="00787590" w:rsidRDefault="00F27D26" w:rsidP="00787590">
      <w:pPr>
        <w:tabs>
          <w:tab w:val="left" w:pos="1188"/>
        </w:tabs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</w:p>
    <w:sectPr w:rsidR="00F27D26" w:rsidRPr="00787590" w:rsidSect="00C074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9F" w:rsidRDefault="00086F9F" w:rsidP="00C074DF">
      <w:pPr>
        <w:spacing w:after="0" w:line="240" w:lineRule="auto"/>
      </w:pPr>
      <w:r>
        <w:separator/>
      </w:r>
    </w:p>
  </w:endnote>
  <w:endnote w:type="continuationSeparator" w:id="0">
    <w:p w:rsidR="00086F9F" w:rsidRDefault="00086F9F" w:rsidP="00C0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9F" w:rsidRDefault="00086F9F" w:rsidP="00C074DF">
      <w:pPr>
        <w:spacing w:after="0" w:line="240" w:lineRule="auto"/>
      </w:pPr>
      <w:r>
        <w:separator/>
      </w:r>
    </w:p>
  </w:footnote>
  <w:footnote w:type="continuationSeparator" w:id="0">
    <w:p w:rsidR="00086F9F" w:rsidRDefault="00086F9F" w:rsidP="00C07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628"/>
    <w:multiLevelType w:val="multilevel"/>
    <w:tmpl w:val="72AC8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60"/>
    <w:rsid w:val="00086F9F"/>
    <w:rsid w:val="000A0509"/>
    <w:rsid w:val="00105AF9"/>
    <w:rsid w:val="00132C64"/>
    <w:rsid w:val="00151F4A"/>
    <w:rsid w:val="00172E26"/>
    <w:rsid w:val="001C20F1"/>
    <w:rsid w:val="001C3AAC"/>
    <w:rsid w:val="00250FE1"/>
    <w:rsid w:val="002570DB"/>
    <w:rsid w:val="002664D8"/>
    <w:rsid w:val="002A1A82"/>
    <w:rsid w:val="002E56EF"/>
    <w:rsid w:val="00312C10"/>
    <w:rsid w:val="00331A0C"/>
    <w:rsid w:val="004E7ACD"/>
    <w:rsid w:val="005875C7"/>
    <w:rsid w:val="006208ED"/>
    <w:rsid w:val="00635871"/>
    <w:rsid w:val="006D7556"/>
    <w:rsid w:val="00707A1B"/>
    <w:rsid w:val="0071349C"/>
    <w:rsid w:val="0078381D"/>
    <w:rsid w:val="00787590"/>
    <w:rsid w:val="007B2F1F"/>
    <w:rsid w:val="007D00DE"/>
    <w:rsid w:val="00820FDC"/>
    <w:rsid w:val="008445A9"/>
    <w:rsid w:val="008F3589"/>
    <w:rsid w:val="00934585"/>
    <w:rsid w:val="0098635D"/>
    <w:rsid w:val="00A27C5A"/>
    <w:rsid w:val="00A5298B"/>
    <w:rsid w:val="00B01AE0"/>
    <w:rsid w:val="00B07704"/>
    <w:rsid w:val="00B12380"/>
    <w:rsid w:val="00BA2712"/>
    <w:rsid w:val="00BF72FF"/>
    <w:rsid w:val="00C074DF"/>
    <w:rsid w:val="00D41771"/>
    <w:rsid w:val="00D420E1"/>
    <w:rsid w:val="00D51560"/>
    <w:rsid w:val="00D916C5"/>
    <w:rsid w:val="00DE24AD"/>
    <w:rsid w:val="00E12FAF"/>
    <w:rsid w:val="00E343AB"/>
    <w:rsid w:val="00E8072D"/>
    <w:rsid w:val="00F13A10"/>
    <w:rsid w:val="00F27D26"/>
    <w:rsid w:val="00F5369C"/>
    <w:rsid w:val="00FB3EFD"/>
    <w:rsid w:val="00FD1CCF"/>
    <w:rsid w:val="00F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9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DF"/>
  </w:style>
  <w:style w:type="paragraph" w:styleId="a6">
    <w:name w:val="footer"/>
    <w:basedOn w:val="a"/>
    <w:link w:val="a7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DF"/>
  </w:style>
  <w:style w:type="paragraph" w:styleId="a8">
    <w:name w:val="Balloon Text"/>
    <w:basedOn w:val="a"/>
    <w:link w:val="a9"/>
    <w:uiPriority w:val="99"/>
    <w:semiHidden/>
    <w:unhideWhenUsed/>
    <w:rsid w:val="00B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49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DF"/>
  </w:style>
  <w:style w:type="paragraph" w:styleId="a6">
    <w:name w:val="footer"/>
    <w:basedOn w:val="a"/>
    <w:link w:val="a7"/>
    <w:uiPriority w:val="99"/>
    <w:unhideWhenUsed/>
    <w:rsid w:val="00C0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DF"/>
  </w:style>
  <w:style w:type="paragraph" w:styleId="a8">
    <w:name w:val="Balloon Text"/>
    <w:basedOn w:val="a"/>
    <w:link w:val="a9"/>
    <w:uiPriority w:val="99"/>
    <w:semiHidden/>
    <w:unhideWhenUsed/>
    <w:rsid w:val="00BA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53</cp:revision>
  <cp:lastPrinted>2021-03-02T07:52:00Z</cp:lastPrinted>
  <dcterms:created xsi:type="dcterms:W3CDTF">2021-03-02T05:29:00Z</dcterms:created>
  <dcterms:modified xsi:type="dcterms:W3CDTF">2021-06-28T07:43:00Z</dcterms:modified>
</cp:coreProperties>
</file>