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2765A0" w:rsidRDefault="006C7A9C" w:rsidP="007B1517">
      <w:pPr>
        <w:pStyle w:val="a3"/>
        <w:widowControl w:val="0"/>
        <w:jc w:val="center"/>
        <w:rPr>
          <w:b/>
          <w:color w:val="000000"/>
        </w:rPr>
      </w:pPr>
      <w:r w:rsidRPr="002765A0">
        <w:rPr>
          <w:b/>
        </w:rPr>
        <w:t>Ивановская область</w:t>
      </w:r>
      <w:r w:rsidR="00813A37" w:rsidRPr="002765A0">
        <w:rPr>
          <w:b/>
        </w:rPr>
        <w:t>,</w:t>
      </w:r>
      <w:r w:rsidR="007B4D20" w:rsidRPr="002765A0">
        <w:rPr>
          <w:b/>
        </w:rPr>
        <w:t xml:space="preserve"> </w:t>
      </w:r>
      <w:proofErr w:type="spellStart"/>
      <w:r w:rsidR="00E5146F" w:rsidRPr="002765A0">
        <w:rPr>
          <w:b/>
        </w:rPr>
        <w:t>Фурмановский</w:t>
      </w:r>
      <w:proofErr w:type="spellEnd"/>
      <w:r w:rsidR="00E5146F" w:rsidRPr="002765A0">
        <w:rPr>
          <w:b/>
        </w:rPr>
        <w:t xml:space="preserve"> район,</w:t>
      </w:r>
      <w:r w:rsidR="00A60BDE" w:rsidRPr="002765A0">
        <w:rPr>
          <w:b/>
        </w:rPr>
        <w:t xml:space="preserve"> </w:t>
      </w:r>
      <w:r w:rsidR="004343B4" w:rsidRPr="002765A0">
        <w:rPr>
          <w:b/>
        </w:rPr>
        <w:t>с</w:t>
      </w:r>
      <w:r w:rsidR="00E5146F" w:rsidRPr="002765A0">
        <w:rPr>
          <w:b/>
        </w:rPr>
        <w:t xml:space="preserve">. </w:t>
      </w:r>
      <w:proofErr w:type="spellStart"/>
      <w:r w:rsidR="00304E23">
        <w:rPr>
          <w:b/>
        </w:rPr>
        <w:t>Хромцово</w:t>
      </w:r>
      <w:proofErr w:type="spellEnd"/>
      <w:r w:rsidR="00E5146F" w:rsidRPr="002765A0">
        <w:rPr>
          <w:b/>
        </w:rPr>
        <w:t>,</w:t>
      </w:r>
    </w:p>
    <w:p w:rsidR="00E5146F" w:rsidRPr="002765A0" w:rsidRDefault="001B5E05" w:rsidP="007B1517">
      <w:pPr>
        <w:pStyle w:val="a3"/>
        <w:widowControl w:val="0"/>
        <w:jc w:val="center"/>
        <w:rPr>
          <w:b/>
        </w:rPr>
      </w:pPr>
      <w:r w:rsidRPr="002765A0">
        <w:rPr>
          <w:b/>
          <w:color w:val="000000"/>
        </w:rPr>
        <w:t xml:space="preserve">кадастровый </w:t>
      </w:r>
      <w:r w:rsidRPr="002765A0">
        <w:rPr>
          <w:b/>
        </w:rPr>
        <w:t xml:space="preserve">номер </w:t>
      </w:r>
      <w:r w:rsidR="00CA0913" w:rsidRPr="002765A0">
        <w:rPr>
          <w:b/>
        </w:rPr>
        <w:t xml:space="preserve"> </w:t>
      </w:r>
      <w:r w:rsidR="00E5146F" w:rsidRPr="002765A0">
        <w:rPr>
          <w:b/>
        </w:rPr>
        <w:t>37:19:</w:t>
      </w:r>
      <w:r w:rsidR="002F1F23">
        <w:rPr>
          <w:b/>
        </w:rPr>
        <w:t>01</w:t>
      </w:r>
      <w:r w:rsidR="00304E23">
        <w:rPr>
          <w:b/>
        </w:rPr>
        <w:t>1104</w:t>
      </w:r>
      <w:r w:rsidR="00A60BDE" w:rsidRPr="002765A0">
        <w:rPr>
          <w:b/>
        </w:rPr>
        <w:t>:</w:t>
      </w:r>
      <w:r w:rsidR="00304E23">
        <w:rPr>
          <w:b/>
        </w:rPr>
        <w:t>813</w:t>
      </w:r>
      <w:r w:rsidR="00E5146F" w:rsidRPr="002765A0">
        <w:rPr>
          <w:b/>
        </w:rPr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304E23">
        <w:t>строительства индивидуального жилого дома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5A4EA2">
        <w:rPr>
          <w:sz w:val="22"/>
          <w:szCs w:val="22"/>
        </w:rPr>
        <w:t xml:space="preserve">района № </w:t>
      </w:r>
      <w:r w:rsidR="005A4EA2" w:rsidRPr="005A4EA2">
        <w:rPr>
          <w:sz w:val="22"/>
          <w:szCs w:val="22"/>
        </w:rPr>
        <w:t>3</w:t>
      </w:r>
      <w:r w:rsidR="002B2849" w:rsidRPr="005A4EA2">
        <w:rPr>
          <w:sz w:val="22"/>
          <w:szCs w:val="22"/>
        </w:rPr>
        <w:t xml:space="preserve"> от </w:t>
      </w:r>
      <w:r w:rsidR="005A4EA2" w:rsidRPr="005A4EA2">
        <w:rPr>
          <w:sz w:val="22"/>
          <w:szCs w:val="22"/>
        </w:rPr>
        <w:t xml:space="preserve">12.01.2021 </w:t>
      </w:r>
      <w:r w:rsidRPr="005A4EA2">
        <w:rPr>
          <w:sz w:val="22"/>
          <w:szCs w:val="22"/>
        </w:rPr>
        <w:t xml:space="preserve"> «О проведен</w:t>
      </w:r>
      <w:proofErr w:type="gramStart"/>
      <w:r w:rsidRPr="005A4EA2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земельный участок общей площадью 14</w:t>
      </w:r>
      <w:r w:rsidR="00D65400">
        <w:rPr>
          <w:sz w:val="22"/>
          <w:szCs w:val="22"/>
        </w:rPr>
        <w:t>88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1104:813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37:19:011104:813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Фурмановского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83"/>
        <w:gridCol w:w="2987"/>
        <w:gridCol w:w="4110"/>
      </w:tblGrid>
      <w:tr w:rsidR="001E517B" w:rsidRPr="00617F3C" w:rsidTr="002E72EE">
        <w:trPr>
          <w:cantSplit/>
          <w:trHeight w:val="971"/>
          <w:tblHeader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617F3C" w:rsidRDefault="001E517B" w:rsidP="002E72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bCs/>
                <w:color w:val="000000"/>
                <w:sz w:val="20"/>
                <w:szCs w:val="20"/>
              </w:rPr>
              <w:t>Наименование основного вида разрешенного использования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617F3C" w:rsidRDefault="009040EF" w:rsidP="002E72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Описание вида разр</w:t>
            </w:r>
            <w:r w:rsidR="001E517B" w:rsidRPr="00617F3C">
              <w:rPr>
                <w:b/>
                <w:bCs/>
                <w:color w:val="000000"/>
                <w:sz w:val="20"/>
                <w:szCs w:val="20"/>
              </w:rPr>
              <w:t>ешенного использования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617F3C" w:rsidRDefault="001E517B" w:rsidP="002E72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F3C">
              <w:rPr>
                <w:b/>
                <w:bCs/>
                <w:color w:val="000000"/>
                <w:sz w:val="20"/>
                <w:szCs w:val="20"/>
              </w:rPr>
              <w:t>Предельные параметры</w:t>
            </w:r>
          </w:p>
        </w:tc>
      </w:tr>
      <w:tr w:rsidR="001E517B" w:rsidRPr="00617F3C" w:rsidTr="002E72EE">
        <w:trPr>
          <w:trHeight w:val="59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617F3C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617F3C">
              <w:rPr>
                <w:b/>
                <w:bCs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1E517B" w:rsidRPr="00617F3C" w:rsidRDefault="001E517B" w:rsidP="002E72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(Код – 2.1)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617F3C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20"/>
                <w:szCs w:val="20"/>
              </w:rPr>
            </w:pPr>
            <w:r w:rsidRPr="00617F3C">
              <w:rPr>
                <w:color w:val="00000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617F3C" w:rsidRDefault="001E517B" w:rsidP="002E72E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Минимальная площадь</w:t>
            </w:r>
            <w:r w:rsidRPr="00617F3C">
              <w:rPr>
                <w:color w:val="000000"/>
                <w:sz w:val="20"/>
                <w:szCs w:val="20"/>
              </w:rPr>
              <w:t xml:space="preserve"> земельного участка – 400 кв. м</w:t>
            </w:r>
          </w:p>
          <w:p w:rsidR="001E517B" w:rsidRPr="00617F3C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Максимальная площадь</w:t>
            </w:r>
            <w:r w:rsidRPr="00617F3C">
              <w:rPr>
                <w:color w:val="000000"/>
                <w:sz w:val="20"/>
                <w:szCs w:val="20"/>
              </w:rPr>
              <w:t xml:space="preserve"> земельного участка – 5000 кв. м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Максимальная высота зданий</w:t>
            </w:r>
            <w:r w:rsidRPr="00617F3C">
              <w:rPr>
                <w:color w:val="000000"/>
                <w:sz w:val="20"/>
                <w:szCs w:val="20"/>
              </w:rPr>
              <w:t xml:space="preserve"> – 20 м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Максимальное количество надземных этажей зданий</w:t>
            </w:r>
            <w:r w:rsidRPr="00617F3C">
              <w:rPr>
                <w:color w:val="000000"/>
                <w:sz w:val="20"/>
                <w:szCs w:val="20"/>
              </w:rPr>
              <w:t xml:space="preserve"> – 3 этажа 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Максимальный процент застройки</w:t>
            </w:r>
            <w:r w:rsidRPr="00617F3C">
              <w:rPr>
                <w:color w:val="000000"/>
                <w:sz w:val="20"/>
                <w:szCs w:val="20"/>
              </w:rPr>
              <w:t xml:space="preserve"> участка - 60%</w:t>
            </w:r>
          </w:p>
          <w:p w:rsidR="001E517B" w:rsidRPr="00617F3C" w:rsidRDefault="001E517B" w:rsidP="002E72EE">
            <w:pPr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Минимальный отступ</w:t>
            </w:r>
            <w:r w:rsidRPr="00617F3C">
              <w:rPr>
                <w:color w:val="000000"/>
                <w:sz w:val="20"/>
                <w:szCs w:val="20"/>
              </w:rPr>
              <w:t xml:space="preserve"> строений от границ земельных участков - 3 м 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color w:val="000000"/>
                <w:sz w:val="20"/>
                <w:szCs w:val="20"/>
              </w:rPr>
              <w:t xml:space="preserve"> 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075F97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7B1F7E">
        <w:rPr>
          <w:sz w:val="22"/>
          <w:szCs w:val="22"/>
        </w:rPr>
        <w:t>71 400</w:t>
      </w:r>
      <w:r w:rsidRPr="005F7C93">
        <w:rPr>
          <w:sz w:val="22"/>
          <w:szCs w:val="22"/>
        </w:rPr>
        <w:t>,00 (</w:t>
      </w:r>
      <w:r w:rsidR="007B1F7E">
        <w:rPr>
          <w:sz w:val="22"/>
          <w:szCs w:val="22"/>
        </w:rPr>
        <w:t>семьдесят одна</w:t>
      </w:r>
      <w:r w:rsidR="005F7C93" w:rsidRPr="005F7C93">
        <w:rPr>
          <w:sz w:val="22"/>
          <w:szCs w:val="22"/>
        </w:rPr>
        <w:t xml:space="preserve"> тысяч</w:t>
      </w:r>
      <w:r w:rsidR="007B1F7E">
        <w:rPr>
          <w:sz w:val="22"/>
          <w:szCs w:val="22"/>
        </w:rPr>
        <w:t>а четыреста</w:t>
      </w:r>
      <w:r w:rsidRPr="005F7C93">
        <w:rPr>
          <w:sz w:val="22"/>
          <w:szCs w:val="22"/>
        </w:rPr>
        <w:t xml:space="preserve">) рублей 00 копеек (НДС не </w:t>
      </w:r>
      <w:r w:rsidRPr="00497D19">
        <w:rPr>
          <w:sz w:val="22"/>
          <w:szCs w:val="22"/>
        </w:rPr>
        <w:t xml:space="preserve">облагается). </w:t>
      </w:r>
    </w:p>
    <w:p w:rsidR="005A2BC7" w:rsidRPr="00497D19" w:rsidRDefault="005A2BC7" w:rsidP="00497D19">
      <w:pPr>
        <w:pStyle w:val="a5"/>
        <w:ind w:left="0"/>
        <w:rPr>
          <w:sz w:val="22"/>
          <w:szCs w:val="22"/>
        </w:rPr>
      </w:pP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lastRenderedPageBreak/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5F7C93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Шаг аукциона: </w:t>
      </w:r>
      <w:r w:rsidR="007B1F7E">
        <w:rPr>
          <w:sz w:val="22"/>
          <w:szCs w:val="22"/>
        </w:rPr>
        <w:t>2 142</w:t>
      </w:r>
      <w:r w:rsidRPr="005F7C93">
        <w:rPr>
          <w:sz w:val="22"/>
          <w:szCs w:val="22"/>
        </w:rPr>
        <w:t>,00 (</w:t>
      </w:r>
      <w:r w:rsidR="007B1F7E">
        <w:rPr>
          <w:sz w:val="22"/>
          <w:szCs w:val="22"/>
        </w:rPr>
        <w:t>две</w:t>
      </w:r>
      <w:r w:rsidR="005F7C93" w:rsidRPr="005F7C93">
        <w:rPr>
          <w:sz w:val="22"/>
          <w:szCs w:val="22"/>
        </w:rPr>
        <w:t xml:space="preserve"> тысяч</w:t>
      </w:r>
      <w:r w:rsidR="007B1F7E">
        <w:rPr>
          <w:sz w:val="22"/>
          <w:szCs w:val="22"/>
        </w:rPr>
        <w:t>и сто сорок два</w:t>
      </w:r>
      <w:r w:rsidR="005F7C93" w:rsidRPr="005F7C93">
        <w:rPr>
          <w:sz w:val="22"/>
          <w:szCs w:val="22"/>
        </w:rPr>
        <w:t>) рубл</w:t>
      </w:r>
      <w:r w:rsidR="007B1F7E">
        <w:rPr>
          <w:sz w:val="22"/>
          <w:szCs w:val="22"/>
        </w:rPr>
        <w:t>я</w:t>
      </w:r>
      <w:r w:rsidRPr="005F7C93">
        <w:rPr>
          <w:sz w:val="22"/>
          <w:szCs w:val="22"/>
        </w:rPr>
        <w:t xml:space="preserve"> 00 копеек.</w:t>
      </w:r>
    </w:p>
    <w:p w:rsidR="00075F97" w:rsidRPr="005F7C93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5D619B">
        <w:rPr>
          <w:sz w:val="22"/>
          <w:szCs w:val="22"/>
        </w:rPr>
        <w:t>14 280</w:t>
      </w:r>
      <w:r w:rsidRPr="005F7C93">
        <w:rPr>
          <w:sz w:val="22"/>
          <w:szCs w:val="22"/>
        </w:rPr>
        <w:t>,00 (</w:t>
      </w:r>
      <w:r w:rsidR="005D619B">
        <w:rPr>
          <w:sz w:val="22"/>
          <w:szCs w:val="22"/>
        </w:rPr>
        <w:t>четырнадцать тысяч двести восемьдесят</w:t>
      </w:r>
      <w:r w:rsidRPr="005F7C93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государственной собственности.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</w:t>
      </w:r>
      <w:r w:rsidRPr="00497D19">
        <w:rPr>
          <w:sz w:val="22"/>
          <w:szCs w:val="22"/>
        </w:rPr>
        <w:lastRenderedPageBreak/>
        <w:t xml:space="preserve">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 </w:t>
      </w:r>
      <w:proofErr w:type="spellStart"/>
      <w:r w:rsidRPr="00497D19">
        <w:rPr>
          <w:sz w:val="22"/>
          <w:szCs w:val="22"/>
        </w:rPr>
        <w:t>Жилова</w:t>
      </w:r>
      <w:proofErr w:type="spellEnd"/>
      <w:r w:rsidRPr="00497D19">
        <w:rPr>
          <w:sz w:val="22"/>
          <w:szCs w:val="22"/>
        </w:rPr>
        <w:t xml:space="preserve"> Наталья Вадимовна.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заявок:</w:t>
      </w:r>
      <w:r w:rsidRPr="00497D19">
        <w:rPr>
          <w:color w:val="000000"/>
          <w:sz w:val="22"/>
          <w:szCs w:val="22"/>
        </w:rPr>
        <w:t xml:space="preserve"> </w:t>
      </w:r>
      <w:r w:rsidRPr="00534C8E">
        <w:rPr>
          <w:sz w:val="22"/>
          <w:szCs w:val="22"/>
        </w:rPr>
        <w:t xml:space="preserve">8.15 час. </w:t>
      </w:r>
      <w:r w:rsidR="00ED63EE" w:rsidRPr="00534C8E">
        <w:rPr>
          <w:sz w:val="22"/>
          <w:szCs w:val="22"/>
        </w:rPr>
        <w:t>19</w:t>
      </w:r>
      <w:r w:rsidR="00A60342" w:rsidRPr="00534C8E">
        <w:rPr>
          <w:sz w:val="22"/>
          <w:szCs w:val="22"/>
        </w:rPr>
        <w:t>.01. 2021</w:t>
      </w:r>
      <w:r w:rsidRPr="00534C8E">
        <w:rPr>
          <w:sz w:val="22"/>
          <w:szCs w:val="22"/>
        </w:rPr>
        <w:t xml:space="preserve"> года.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534C8E">
        <w:rPr>
          <w:b/>
          <w:sz w:val="22"/>
          <w:szCs w:val="22"/>
        </w:rPr>
        <w:t>Окончательный срок подачи заявок:</w:t>
      </w:r>
      <w:r w:rsidRPr="00534C8E">
        <w:rPr>
          <w:sz w:val="22"/>
          <w:szCs w:val="22"/>
        </w:rPr>
        <w:t xml:space="preserve"> 17.15 час. 1</w:t>
      </w:r>
      <w:r w:rsidR="00ED63EE" w:rsidRPr="00534C8E">
        <w:rPr>
          <w:sz w:val="22"/>
          <w:szCs w:val="22"/>
        </w:rPr>
        <w:t>9</w:t>
      </w:r>
      <w:r w:rsidR="00A60342" w:rsidRPr="00534C8E">
        <w:rPr>
          <w:sz w:val="22"/>
          <w:szCs w:val="22"/>
        </w:rPr>
        <w:t>.02</w:t>
      </w:r>
      <w:r w:rsidRPr="00534C8E">
        <w:rPr>
          <w:sz w:val="22"/>
          <w:szCs w:val="22"/>
        </w:rPr>
        <w:t>.</w:t>
      </w:r>
      <w:r w:rsidR="00A60342" w:rsidRPr="00534C8E">
        <w:rPr>
          <w:sz w:val="22"/>
          <w:szCs w:val="22"/>
        </w:rPr>
        <w:t>2021</w:t>
      </w:r>
      <w:r w:rsidRPr="00534C8E">
        <w:rPr>
          <w:sz w:val="22"/>
          <w:szCs w:val="22"/>
        </w:rPr>
        <w:t xml:space="preserve"> года.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534C8E">
        <w:rPr>
          <w:b/>
          <w:sz w:val="22"/>
          <w:szCs w:val="22"/>
        </w:rPr>
        <w:t>Дата, время и место определения участников аукциона:</w:t>
      </w:r>
      <w:r w:rsidRPr="00534C8E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D63EE" w:rsidRPr="00534C8E">
        <w:rPr>
          <w:sz w:val="22"/>
          <w:szCs w:val="22"/>
        </w:rPr>
        <w:t>24</w:t>
      </w:r>
      <w:r w:rsidR="00B07C3E" w:rsidRPr="00534C8E">
        <w:rPr>
          <w:sz w:val="22"/>
          <w:szCs w:val="22"/>
        </w:rPr>
        <w:t>.02.2021</w:t>
      </w:r>
      <w:r w:rsidRPr="00534C8E">
        <w:rPr>
          <w:sz w:val="22"/>
          <w:szCs w:val="22"/>
        </w:rPr>
        <w:t xml:space="preserve"> года в 14.00 час.</w:t>
      </w:r>
    </w:p>
    <w:p w:rsidR="00497D19" w:rsidRPr="00534C8E" w:rsidRDefault="00497D19" w:rsidP="00497D19">
      <w:pPr>
        <w:pStyle w:val="a3"/>
        <w:widowControl w:val="0"/>
        <w:rPr>
          <w:b/>
          <w:sz w:val="22"/>
          <w:szCs w:val="22"/>
        </w:rPr>
      </w:pPr>
      <w:r w:rsidRPr="00534C8E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534C8E">
        <w:rPr>
          <w:sz w:val="22"/>
          <w:szCs w:val="22"/>
        </w:rPr>
        <w:t xml:space="preserve">14.00 час. </w:t>
      </w:r>
      <w:r w:rsidR="00ED63EE" w:rsidRPr="00534C8E">
        <w:rPr>
          <w:sz w:val="22"/>
          <w:szCs w:val="22"/>
        </w:rPr>
        <w:t>03</w:t>
      </w:r>
      <w:r w:rsidRPr="00534C8E">
        <w:rPr>
          <w:sz w:val="22"/>
          <w:szCs w:val="22"/>
        </w:rPr>
        <w:t>.</w:t>
      </w:r>
      <w:r w:rsidR="00ED63EE" w:rsidRPr="00534C8E">
        <w:rPr>
          <w:sz w:val="22"/>
          <w:szCs w:val="22"/>
        </w:rPr>
        <w:t>03</w:t>
      </w:r>
      <w:r w:rsidR="00682CC1" w:rsidRPr="00534C8E">
        <w:rPr>
          <w:sz w:val="22"/>
          <w:szCs w:val="22"/>
        </w:rPr>
        <w:t>.2021</w:t>
      </w:r>
      <w:r w:rsidRPr="00534C8E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4106BC">
        <w:t>8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B34BA3" w:rsidRPr="00360ABD">
        <w:t>:</w:t>
      </w:r>
      <w:r w:rsidR="007145DD">
        <w:t>813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Фурмановского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>________________________________________________________________________</w:t>
      </w:r>
      <w:r w:rsidR="00214C44">
        <w:t>____</w:t>
      </w:r>
      <w:r>
        <w:t xml:space="preserve">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B8036F" w:rsidRPr="00C837EF" w:rsidRDefault="00214C44" w:rsidP="00B8036F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848A" wp14:editId="363AA4F5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A44323" w:rsidRDefault="00A44323" w:rsidP="00B8036F">
      <w:pPr>
        <w:widowControl w:val="0"/>
        <w:sectPr w:rsidR="00A4432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</w:t>
      </w:r>
      <w:r w:rsidR="009C52A4">
        <w:t>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</w:t>
      </w:r>
      <w:r w:rsidR="007145DD">
        <w:t>8</w:t>
      </w:r>
      <w:r w:rsidR="004106BC">
        <w:t>8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</w:t>
      </w:r>
      <w:r w:rsidR="007145DD">
        <w:t>104</w:t>
      </w:r>
      <w:r w:rsidR="00B545B4" w:rsidRPr="00EC46B2">
        <w:t>:</w:t>
      </w:r>
      <w:r w:rsidR="007145DD">
        <w:t>813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7145DD">
        <w:t>14 280</w:t>
      </w:r>
      <w:r w:rsidR="00642BA2" w:rsidRPr="00AB5937">
        <w:t>,00</w:t>
      </w:r>
      <w:r w:rsidR="00360ABD" w:rsidRPr="00AB5937">
        <w:t xml:space="preserve"> (</w:t>
      </w:r>
      <w:r w:rsidR="007145DD">
        <w:t>четырнадцать</w:t>
      </w:r>
      <w:r w:rsidR="00642BA2" w:rsidRPr="00AB5937">
        <w:t xml:space="preserve"> тысяч </w:t>
      </w:r>
      <w:r w:rsidR="007145DD">
        <w:t>двести восемьдесят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>/с 05333007140 в УФК по Ивановской области (Администрация Фурмановского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Фурман</w:t>
      </w:r>
      <w:r w:rsidR="008F1D32" w:rsidRPr="00EC46B2">
        <w:t>овского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lastRenderedPageBreak/>
        <w:t>3</w:t>
      </w:r>
      <w:r w:rsidR="00210523">
        <w:t xml:space="preserve">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46541B" w:rsidRDefault="0046541B" w:rsidP="00D277C9">
      <w:pPr>
        <w:widowControl w:val="0"/>
        <w:jc w:val="right"/>
        <w:rPr>
          <w:b/>
        </w:rPr>
      </w:pPr>
    </w:p>
    <w:p w:rsidR="0046541B" w:rsidRDefault="0046541B" w:rsidP="00D277C9">
      <w:pPr>
        <w:widowControl w:val="0"/>
        <w:jc w:val="right"/>
        <w:rPr>
          <w:b/>
        </w:rPr>
      </w:pPr>
    </w:p>
    <w:p w:rsidR="0046541B" w:rsidRDefault="0046541B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bookmarkStart w:id="3" w:name="_GoBack"/>
      <w:bookmarkEnd w:id="3"/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</w:t>
      </w:r>
      <w:r w:rsidR="007145DD">
        <w:rPr>
          <w:bCs/>
        </w:rPr>
        <w:t>8</w:t>
      </w:r>
      <w:r w:rsidR="00D34E33">
        <w:rPr>
          <w:bCs/>
        </w:rPr>
        <w:t>8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Pr="00AF15DD">
        <w:rPr>
          <w:bCs/>
        </w:rPr>
        <w:t>:</w:t>
      </w:r>
      <w:r w:rsidR="007145DD">
        <w:rPr>
          <w:bCs/>
        </w:rPr>
        <w:t>813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6B" w:rsidRDefault="007F0A6B" w:rsidP="00765D21">
      <w:r>
        <w:separator/>
      </w:r>
    </w:p>
  </w:endnote>
  <w:endnote w:type="continuationSeparator" w:id="0">
    <w:p w:rsidR="007F0A6B" w:rsidRDefault="007F0A6B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6B" w:rsidRDefault="007F0A6B" w:rsidP="00765D21">
      <w:r>
        <w:separator/>
      </w:r>
    </w:p>
  </w:footnote>
  <w:footnote w:type="continuationSeparator" w:id="0">
    <w:p w:rsidR="007F0A6B" w:rsidRDefault="007F0A6B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541B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0A6B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8FDE-C0C0-4C72-825D-681D93C8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36583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sm4</cp:lastModifiedBy>
  <cp:revision>3</cp:revision>
  <cp:lastPrinted>2021-01-13T10:04:00Z</cp:lastPrinted>
  <dcterms:created xsi:type="dcterms:W3CDTF">2021-01-15T10:55:00Z</dcterms:created>
  <dcterms:modified xsi:type="dcterms:W3CDTF">2021-01-25T06:20:00Z</dcterms:modified>
</cp:coreProperties>
</file>